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EBE1"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w:t>
      </w:r>
      <w:r w:rsidR="00DA5515">
        <w:rPr>
          <w:rFonts w:ascii="Times New Roman" w:hAnsi="Times New Roman"/>
          <w:color w:val="00548C"/>
          <w:sz w:val="36"/>
        </w:rPr>
        <w:t xml:space="preserve"> Dental Anesthesia </w:t>
      </w:r>
      <w:r>
        <w:rPr>
          <w:rFonts w:ascii="Times New Roman" w:hAnsi="Times New Roman"/>
          <w:color w:val="00548C"/>
          <w:sz w:val="36"/>
        </w:rPr>
        <w:t xml:space="preserve"> </w:t>
      </w:r>
    </w:p>
    <w:p w14:paraId="5919CC99"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4DCAE9A4" w14:textId="77777777" w:rsidR="00480C09" w:rsidRPr="003D7BE7" w:rsidRDefault="00D574CA" w:rsidP="00F924EA">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712889">
        <w:rPr>
          <w:rFonts w:ascii="Times New Roman" w:hAnsi="Times New Roman"/>
          <w:color w:val="00548C"/>
          <w:sz w:val="24"/>
          <w:szCs w:val="24"/>
        </w:rPr>
        <w:t>61</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F924EA">
        <w:rPr>
          <w:rFonts w:ascii="Times New Roman" w:hAnsi="Times New Roman"/>
          <w:color w:val="00548C"/>
          <w:sz w:val="24"/>
          <w:szCs w:val="24"/>
        </w:rPr>
        <w:t xml:space="preserve">  </w:t>
      </w:r>
      <w:r w:rsidR="00F924EA">
        <w:rPr>
          <w:rFonts w:ascii="Times New Roman" w:hAnsi="Times New Roman"/>
          <w:color w:val="00548C"/>
          <w:sz w:val="24"/>
          <w:szCs w:val="24"/>
        </w:rPr>
        <w:tab/>
      </w:r>
      <w:r w:rsidR="00F924EA">
        <w:rPr>
          <w:rFonts w:ascii="Times New Roman" w:hAnsi="Times New Roman"/>
          <w:color w:val="00548C"/>
          <w:sz w:val="24"/>
          <w:szCs w:val="24"/>
        </w:rPr>
        <w:tab/>
      </w:r>
      <w:r w:rsidR="00F924EA">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720D2B" w14:textId="4242F5E9"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DA5515">
        <w:rPr>
          <w:rFonts w:ascii="Times New Roman" w:hAnsi="Times New Roman"/>
          <w:color w:val="00548C"/>
          <w:sz w:val="24"/>
          <w:szCs w:val="24"/>
        </w:rPr>
        <w:t>0</w:t>
      </w:r>
      <w:r w:rsidR="00915BF4">
        <w:rPr>
          <w:rFonts w:ascii="Times New Roman" w:hAnsi="Times New Roman"/>
          <w:color w:val="00548C"/>
          <w:sz w:val="24"/>
          <w:szCs w:val="24"/>
        </w:rPr>
        <w:t>4</w:t>
      </w:r>
      <w:r w:rsidR="00DA5515">
        <w:rPr>
          <w:rFonts w:ascii="Times New Roman" w:hAnsi="Times New Roman"/>
          <w:color w:val="00548C"/>
          <w:sz w:val="24"/>
          <w:szCs w:val="24"/>
        </w:rPr>
        <w:t>/1</w:t>
      </w:r>
      <w:r w:rsidR="00BA17A0">
        <w:rPr>
          <w:rFonts w:ascii="Times New Roman" w:hAnsi="Times New Roman"/>
          <w:color w:val="00548C"/>
          <w:sz w:val="24"/>
          <w:szCs w:val="24"/>
        </w:rPr>
        <w:t>9</w:t>
      </w:r>
    </w:p>
    <w:p w14:paraId="3E702D99" w14:textId="77777777" w:rsidR="00875924" w:rsidRDefault="00DA3CFE"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70920D89"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2E1E417F"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59C3815F"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3C470A5B" w14:textId="77777777" w:rsidR="00583376" w:rsidRPr="00B777AF" w:rsidRDefault="00583376">
      <w:pPr>
        <w:pStyle w:val="Heading2"/>
        <w:rPr>
          <w:u w:val="none"/>
        </w:rPr>
      </w:pPr>
      <w:r w:rsidRPr="00B777AF">
        <w:rPr>
          <w:u w:val="none"/>
        </w:rPr>
        <w:t xml:space="preserve">Description </w:t>
      </w:r>
    </w:p>
    <w:p w14:paraId="0C650DAB" w14:textId="77777777" w:rsidR="00ED0A0D" w:rsidRDefault="00C17CEF" w:rsidP="00196935">
      <w:r>
        <w:t xml:space="preserve">Medical necessity guidelines </w:t>
      </w:r>
      <w:r w:rsidRPr="00FF1B3D">
        <w:t>for</w:t>
      </w:r>
      <w:r>
        <w:t xml:space="preserve"> dental anesthesia</w:t>
      </w:r>
      <w:r w:rsidRPr="0033402A">
        <w:t xml:space="preserve"> </w:t>
      </w:r>
      <w:r>
        <w:t>in the inpatient or ambulatory surgery setting</w:t>
      </w:r>
      <w:r w:rsidR="00A427C4">
        <w:t>.</w:t>
      </w:r>
    </w:p>
    <w:p w14:paraId="1BCA0CF9" w14:textId="77777777" w:rsidR="005D7B81" w:rsidRPr="00B777AF" w:rsidRDefault="005D7B81" w:rsidP="00196935"/>
    <w:p w14:paraId="31607A9C" w14:textId="77777777" w:rsidR="00583376" w:rsidRPr="00B777AF" w:rsidRDefault="00583376">
      <w:pPr>
        <w:pStyle w:val="Heading2"/>
        <w:rPr>
          <w:u w:val="none"/>
        </w:rPr>
      </w:pPr>
      <w:r w:rsidRPr="00B777AF">
        <w:rPr>
          <w:u w:val="none"/>
        </w:rPr>
        <w:t>Policy/Criteria</w:t>
      </w:r>
    </w:p>
    <w:p w14:paraId="5D4C7774" w14:textId="77777777" w:rsidR="00F561F1" w:rsidRDefault="00F561F1" w:rsidP="00F561F1">
      <w:pPr>
        <w:numPr>
          <w:ilvl w:val="0"/>
          <w:numId w:val="21"/>
        </w:numPr>
        <w:ind w:left="360"/>
      </w:pPr>
      <w:r>
        <w:t>It is the policy of health plans affiliated with Centene Corporation</w:t>
      </w:r>
      <w:r>
        <w:rPr>
          <w:vertAlign w:val="superscript"/>
        </w:rPr>
        <w:t>®</w:t>
      </w:r>
      <w:r>
        <w:t xml:space="preserve"> that r</w:t>
      </w:r>
      <w:r w:rsidRPr="00AE6A66">
        <w:t xml:space="preserve">equests for </w:t>
      </w:r>
      <w:r w:rsidRPr="00A7276C">
        <w:rPr>
          <w:i/>
        </w:rPr>
        <w:t>general anesthesia</w:t>
      </w:r>
      <w:r>
        <w:rPr>
          <w:i/>
        </w:rPr>
        <w:t xml:space="preserve"> or IV sedation</w:t>
      </w:r>
      <w:r w:rsidRPr="00A7276C">
        <w:rPr>
          <w:i/>
        </w:rPr>
        <w:t xml:space="preserve"> in an inpatient setting or ambulatory surgery center</w:t>
      </w:r>
      <w:r>
        <w:rPr>
          <w:i/>
        </w:rPr>
        <w:t xml:space="preserve"> when services are not available in the provider office</w:t>
      </w:r>
      <w:r w:rsidRPr="00AE6A66">
        <w:t xml:space="preserve"> </w:t>
      </w:r>
      <w:r>
        <w:t xml:space="preserve">are considered </w:t>
      </w:r>
      <w:r w:rsidRPr="001F6579">
        <w:rPr>
          <w:b/>
        </w:rPr>
        <w:t>medically necessary</w:t>
      </w:r>
      <w:r w:rsidRPr="00AE6A66">
        <w:t xml:space="preserve"> </w:t>
      </w:r>
      <w:r>
        <w:t xml:space="preserve">when any of the following are met: </w:t>
      </w:r>
    </w:p>
    <w:p w14:paraId="598F939A" w14:textId="77777777" w:rsidR="00F561F1" w:rsidRDefault="00F561F1" w:rsidP="00F561F1">
      <w:pPr>
        <w:numPr>
          <w:ilvl w:val="0"/>
          <w:numId w:val="22"/>
        </w:numPr>
        <w:ind w:left="720"/>
      </w:pPr>
      <w:r>
        <w:t xml:space="preserve">Member is </w:t>
      </w:r>
      <w:r w:rsidR="002B7A01">
        <w:t xml:space="preserve">younger </w:t>
      </w:r>
      <w:r>
        <w:t>than eight (8) year</w:t>
      </w:r>
      <w:r w:rsidR="00491B90">
        <w:t>s</w:t>
      </w:r>
      <w:r>
        <w:t xml:space="preserve"> of age with a dental condition that requires repairs of significant complexity </w:t>
      </w:r>
      <w:r w:rsidRPr="003A338F">
        <w:t>(e.g., multiple amalgam and/or resin-based composite restorations, pulpal therapy, extractions, or any combination of these or other dental procedures)</w:t>
      </w:r>
      <w:r>
        <w:t xml:space="preserve">; </w:t>
      </w:r>
      <w:r>
        <w:rPr>
          <w:i/>
        </w:rPr>
        <w:t>or</w:t>
      </w:r>
    </w:p>
    <w:p w14:paraId="741E5B73" w14:textId="77777777" w:rsidR="00F561F1" w:rsidRDefault="00F561F1" w:rsidP="00F561F1">
      <w:pPr>
        <w:numPr>
          <w:ilvl w:val="0"/>
          <w:numId w:val="22"/>
        </w:numPr>
        <w:ind w:left="720"/>
      </w:pPr>
      <w:r w:rsidRPr="00EC2949">
        <w:t>Member</w:t>
      </w:r>
      <w:r>
        <w:t xml:space="preserve"> exhibits physical, intellectual, or medically-compromised conditions, for which dental treatment under local anesthesia, with or without additional adjunctive techniques and modalities, cannot be expected to provide a humane and successful result and which, under general anesthesia, </w:t>
      </w:r>
      <w:r w:rsidR="002B7A01">
        <w:t xml:space="preserve">may </w:t>
      </w:r>
      <w:r>
        <w:t xml:space="preserve">be expected to produce a superior result; </w:t>
      </w:r>
      <w:r>
        <w:rPr>
          <w:i/>
        </w:rPr>
        <w:t>or</w:t>
      </w:r>
    </w:p>
    <w:p w14:paraId="4BA7492E" w14:textId="6CC172D8" w:rsidR="00F561F1" w:rsidRDefault="00F561F1" w:rsidP="00F561F1">
      <w:pPr>
        <w:numPr>
          <w:ilvl w:val="0"/>
          <w:numId w:val="22"/>
        </w:numPr>
        <w:ind w:left="720"/>
      </w:pPr>
      <w:r>
        <w:t xml:space="preserve">Member needs local anesthesia with dental treatment but the local anesthesia </w:t>
      </w:r>
      <w:r w:rsidR="008B1513">
        <w:t xml:space="preserve">was or </w:t>
      </w:r>
      <w:r>
        <w:t>will be ineffective because of acute infection, anatomic variation</w:t>
      </w:r>
      <w:r w:rsidR="002B7A01">
        <w:t>,</w:t>
      </w:r>
      <w:r>
        <w:t xml:space="preserve"> or allergy; </w:t>
      </w:r>
      <w:r>
        <w:rPr>
          <w:i/>
        </w:rPr>
        <w:t>or</w:t>
      </w:r>
    </w:p>
    <w:p w14:paraId="6BAF5408" w14:textId="77777777" w:rsidR="00CA3539" w:rsidRDefault="00F561F1" w:rsidP="00F561F1">
      <w:pPr>
        <w:numPr>
          <w:ilvl w:val="0"/>
          <w:numId w:val="22"/>
        </w:numPr>
        <w:ind w:left="720"/>
      </w:pPr>
      <w:r>
        <w:t>Member is extremely uncooperative, fearful, anxious</w:t>
      </w:r>
      <w:r w:rsidR="002B7A01">
        <w:t>,</w:t>
      </w:r>
      <w:r>
        <w:t xml:space="preserve"> or uncommunicative</w:t>
      </w:r>
      <w:r w:rsidR="00561850">
        <w:t>,</w:t>
      </w:r>
      <w:r>
        <w:t xml:space="preserve"> with dental needs of such magnitude or</w:t>
      </w:r>
      <w:r w:rsidR="00561850">
        <w:t xml:space="preserve"> that are</w:t>
      </w:r>
      <w:r>
        <w:t xml:space="preserve"> </w:t>
      </w:r>
      <w:r w:rsidR="00561850">
        <w:t xml:space="preserve">so </w:t>
      </w:r>
      <w:r>
        <w:t>clinically apparent and functionally threatening to the well-being of the individual</w:t>
      </w:r>
      <w:r w:rsidR="00561850">
        <w:t xml:space="preserve">, </w:t>
      </w:r>
      <w:r>
        <w:t>that treatment should not be postponed or deferred</w:t>
      </w:r>
      <w:r w:rsidR="002B7A01">
        <w:t>,</w:t>
      </w:r>
      <w:r>
        <w:t xml:space="preserve"> and the lack of treatment can be expected to result in dental or oral pain, infection, loss of teeth</w:t>
      </w:r>
      <w:r w:rsidR="002B7A01">
        <w:t>,</w:t>
      </w:r>
      <w:r>
        <w:t xml:space="preserve"> or other increased oral or dental morbidity or mortality;  </w:t>
      </w:r>
      <w:r>
        <w:rPr>
          <w:i/>
        </w:rPr>
        <w:t>or</w:t>
      </w:r>
    </w:p>
    <w:p w14:paraId="4037AD71" w14:textId="77777777" w:rsidR="00FB139B" w:rsidRDefault="00F561F1" w:rsidP="00F561F1">
      <w:pPr>
        <w:numPr>
          <w:ilvl w:val="0"/>
          <w:numId w:val="22"/>
        </w:numPr>
        <w:ind w:left="720"/>
      </w:pPr>
      <w:r>
        <w:t>Member has sustained oral-facial and/or dental trauma, for which treatment under local anesthesia would be ineffective or compromised.</w:t>
      </w:r>
    </w:p>
    <w:p w14:paraId="3305AFAD" w14:textId="77777777" w:rsidR="00F561F1" w:rsidRDefault="00F561F1" w:rsidP="00F561F1">
      <w:pPr>
        <w:rPr>
          <w:bCs/>
          <w:color w:val="000000"/>
        </w:rPr>
      </w:pPr>
    </w:p>
    <w:p w14:paraId="7C3161B3" w14:textId="77777777" w:rsidR="00FB0592" w:rsidRDefault="00FB0592" w:rsidP="00FB0592">
      <w:pPr>
        <w:pStyle w:val="Heading2"/>
        <w:rPr>
          <w:u w:val="none"/>
        </w:rPr>
      </w:pPr>
      <w:r w:rsidRPr="00B777AF">
        <w:rPr>
          <w:u w:val="none"/>
        </w:rPr>
        <w:t>Background</w:t>
      </w:r>
    </w:p>
    <w:p w14:paraId="0D7E18C6" w14:textId="77777777" w:rsidR="00C17CEF" w:rsidRDefault="00C17CEF" w:rsidP="00C17CEF">
      <w:pPr>
        <w:pStyle w:val="Heading2"/>
        <w:rPr>
          <w:b w:val="0"/>
          <w:u w:val="none"/>
        </w:rPr>
      </w:pPr>
      <w:r w:rsidRPr="00E855F0">
        <w:rPr>
          <w:b w:val="0"/>
          <w:u w:val="none"/>
        </w:rPr>
        <w:t xml:space="preserve">Sedation and anesthesia for </w:t>
      </w:r>
      <w:r>
        <w:rPr>
          <w:b w:val="0"/>
          <w:u w:val="none"/>
        </w:rPr>
        <w:t xml:space="preserve">dental </w:t>
      </w:r>
      <w:r w:rsidRPr="00E855F0">
        <w:rPr>
          <w:b w:val="0"/>
          <w:u w:val="none"/>
        </w:rPr>
        <w:t>procedures performed on patients in nontraditional settings</w:t>
      </w:r>
      <w:r>
        <w:rPr>
          <w:b w:val="0"/>
          <w:u w:val="none"/>
        </w:rPr>
        <w:t>, such as acute inpatient facility or ambulatory surgery center,</w:t>
      </w:r>
      <w:r w:rsidRPr="00E855F0">
        <w:rPr>
          <w:b w:val="0"/>
          <w:u w:val="none"/>
        </w:rPr>
        <w:t xml:space="preserve"> have increased over the past several years. </w:t>
      </w:r>
      <w:r>
        <w:rPr>
          <w:b w:val="0"/>
          <w:u w:val="none"/>
        </w:rPr>
        <w:t>Providers must be</w:t>
      </w:r>
      <w:r w:rsidRPr="00E855F0">
        <w:rPr>
          <w:b w:val="0"/>
          <w:u w:val="none"/>
        </w:rPr>
        <w:t xml:space="preserve"> qualified and appropriately trained individuals in accordance with state regulations and professional society guidelines.</w:t>
      </w:r>
    </w:p>
    <w:p w14:paraId="39892A70" w14:textId="77777777" w:rsidR="00C17CEF" w:rsidRPr="00D31A13" w:rsidRDefault="00C17CEF" w:rsidP="00C17CEF"/>
    <w:p w14:paraId="5E2DE19A" w14:textId="545FBA49" w:rsidR="00C17CEF" w:rsidRDefault="00C17CEF" w:rsidP="00C17CEF">
      <w:pPr>
        <w:pStyle w:val="Heading2"/>
        <w:rPr>
          <w:b w:val="0"/>
          <w:bCs w:val="0"/>
          <w:sz w:val="16"/>
          <w:szCs w:val="16"/>
          <w:u w:val="none"/>
        </w:rPr>
      </w:pPr>
      <w:r w:rsidRPr="00E855F0">
        <w:rPr>
          <w:b w:val="0"/>
          <w:u w:val="none"/>
        </w:rPr>
        <w:t>All locations that administer general anesthesia must be equipped with anesthesia emergency</w:t>
      </w:r>
      <w:r w:rsidR="00305F72">
        <w:rPr>
          <w:b w:val="0"/>
          <w:u w:val="none"/>
        </w:rPr>
        <w:t xml:space="preserve"> </w:t>
      </w:r>
      <w:r w:rsidRPr="00E855F0">
        <w:rPr>
          <w:b w:val="0"/>
          <w:u w:val="none"/>
        </w:rPr>
        <w:t>drugs, appropriate resuscitation equipment</w:t>
      </w:r>
      <w:r w:rsidR="002B7A01">
        <w:rPr>
          <w:b w:val="0"/>
          <w:u w:val="none"/>
        </w:rPr>
        <w:t>,</w:t>
      </w:r>
      <w:r w:rsidRPr="00E855F0">
        <w:rPr>
          <w:b w:val="0"/>
          <w:u w:val="none"/>
        </w:rPr>
        <w:t xml:space="preserve"> and properly trained staff to skillfully respond to anesthetic emergencies.</w:t>
      </w:r>
      <w:r>
        <w:rPr>
          <w:b w:val="0"/>
          <w:u w:val="none"/>
        </w:rPr>
        <w:t xml:space="preserve"> Locations covered under this policy are acute care inpatient </w:t>
      </w:r>
      <w:r w:rsidR="002B7A01">
        <w:rPr>
          <w:b w:val="0"/>
          <w:u w:val="none"/>
        </w:rPr>
        <w:t xml:space="preserve">facilities </w:t>
      </w:r>
      <w:r>
        <w:rPr>
          <w:b w:val="0"/>
          <w:u w:val="none"/>
        </w:rPr>
        <w:t>and ambulatory surgery centers.</w:t>
      </w:r>
    </w:p>
    <w:p w14:paraId="2134C5C3" w14:textId="77777777" w:rsidR="00C17CEF" w:rsidRDefault="00C17CEF" w:rsidP="00F561F1"/>
    <w:p w14:paraId="00938423" w14:textId="77777777" w:rsidR="00F561F1" w:rsidRDefault="00F561F1" w:rsidP="00F561F1">
      <w:r>
        <w:t xml:space="preserve">General anesthesia allows for the safe and humane provision of dental diagnostic and surgically invasive procedures.  General anesthesia is only necessary for a small subset of members but is an effective, efficacious, and safe way to provide necessary treatment.  Those included in this </w:t>
      </w:r>
      <w:r>
        <w:lastRenderedPageBreak/>
        <w:t>subset are children who may be cognitively immature, highly anxious or fearful, have special needs, or medically</w:t>
      </w:r>
      <w:r w:rsidR="000E64F5">
        <w:t xml:space="preserve"> </w:t>
      </w:r>
      <w:r>
        <w:t xml:space="preserve">compromised and unable to receive treatment in a traditional office setting.  </w:t>
      </w:r>
    </w:p>
    <w:p w14:paraId="3640F254" w14:textId="77777777" w:rsidR="00F561F1" w:rsidRDefault="00F561F1" w:rsidP="00F561F1"/>
    <w:p w14:paraId="749D6285" w14:textId="77777777" w:rsidR="00F561F1" w:rsidRDefault="00F561F1" w:rsidP="00F561F1">
      <w:r>
        <w:t xml:space="preserve">Withholding of general anesthesia can result in less access to quality oral health care and long term consequences.  Less effective management of these members may increase avoidance behaviors of oral health professionals in the future and increase care being sought in the emergency department.  Improved diagnostic yield and greater quality of procedures improves the cost-effectiveness of general anesthesia over local anesthesia in some children.  </w:t>
      </w:r>
    </w:p>
    <w:p w14:paraId="54D98419" w14:textId="77777777" w:rsidR="009D5928" w:rsidRPr="000465DE" w:rsidRDefault="009D5928">
      <w:pPr>
        <w:rPr>
          <w:b/>
          <w:bCs/>
        </w:rPr>
      </w:pPr>
    </w:p>
    <w:p w14:paraId="37AD8F9F" w14:textId="77777777" w:rsidR="00170B14" w:rsidRPr="00B777AF" w:rsidRDefault="00170B14" w:rsidP="00170B14">
      <w:pPr>
        <w:rPr>
          <w:b/>
        </w:rPr>
      </w:pPr>
      <w:bookmarkStart w:id="0" w:name="Coding_Implications"/>
      <w:r w:rsidRPr="00B777AF">
        <w:rPr>
          <w:b/>
        </w:rPr>
        <w:t>Coding Implications</w:t>
      </w:r>
    </w:p>
    <w:bookmarkEnd w:id="0"/>
    <w:p w14:paraId="186B86C1" w14:textId="777A590F" w:rsidR="000E64F5" w:rsidRDefault="000E64F5" w:rsidP="000E64F5">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BA17A0">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701D523B" w14:textId="77777777" w:rsidR="00AF5490" w:rsidRPr="00A85489" w:rsidRDefault="00AF5490" w:rsidP="00AF5490"/>
    <w:tbl>
      <w:tblPr>
        <w:tblStyle w:val="TableGrid"/>
        <w:tblW w:w="5000" w:type="pct"/>
        <w:tblLook w:val="0020" w:firstRow="1" w:lastRow="0" w:firstColumn="0" w:lastColumn="0" w:noHBand="0" w:noVBand="0"/>
      </w:tblPr>
      <w:tblGrid>
        <w:gridCol w:w="1117"/>
        <w:gridCol w:w="8233"/>
      </w:tblGrid>
      <w:tr w:rsidR="00B777AF" w:rsidRPr="00B777AF" w14:paraId="3F4E241F" w14:textId="77777777" w:rsidTr="00305F72">
        <w:trPr>
          <w:tblHeader/>
        </w:trPr>
        <w:tc>
          <w:tcPr>
            <w:tcW w:w="1117" w:type="dxa"/>
            <w:shd w:val="clear" w:color="auto" w:fill="00548C"/>
          </w:tcPr>
          <w:p w14:paraId="2FE8A383"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238" w:type="dxa"/>
            <w:shd w:val="clear" w:color="auto" w:fill="00548C"/>
          </w:tcPr>
          <w:p w14:paraId="0AD598A8" w14:textId="77777777" w:rsidR="00D36448" w:rsidRPr="00B777AF" w:rsidRDefault="00D36448" w:rsidP="00C10DF0">
            <w:pPr>
              <w:rPr>
                <w:b/>
                <w:bCs/>
                <w:color w:val="FFFFFF" w:themeColor="background1"/>
              </w:rPr>
            </w:pPr>
            <w:r w:rsidRPr="00B777AF">
              <w:rPr>
                <w:b/>
                <w:color w:val="FFFFFF" w:themeColor="background1"/>
              </w:rPr>
              <w:t>Description</w:t>
            </w:r>
          </w:p>
        </w:tc>
      </w:tr>
      <w:tr w:rsidR="00DA5515" w:rsidRPr="005144C0" w14:paraId="6033D591" w14:textId="77777777" w:rsidTr="00305F72">
        <w:tc>
          <w:tcPr>
            <w:tcW w:w="1117" w:type="dxa"/>
          </w:tcPr>
          <w:p w14:paraId="33CC90DB" w14:textId="77777777" w:rsidR="00DA5515" w:rsidRPr="005144C0" w:rsidRDefault="00DA5515" w:rsidP="00DA5515">
            <w:pPr>
              <w:tabs>
                <w:tab w:val="left" w:pos="706"/>
              </w:tabs>
              <w:rPr>
                <w:bCs/>
              </w:rPr>
            </w:pPr>
            <w:r>
              <w:t>00170</w:t>
            </w:r>
          </w:p>
        </w:tc>
        <w:tc>
          <w:tcPr>
            <w:tcW w:w="8238" w:type="dxa"/>
          </w:tcPr>
          <w:p w14:paraId="49DDE1FF" w14:textId="77777777" w:rsidR="00DA5515" w:rsidRPr="005144C0" w:rsidRDefault="00DA5515" w:rsidP="00DA5515">
            <w:pPr>
              <w:rPr>
                <w:bCs/>
              </w:rPr>
            </w:pPr>
            <w:r>
              <w:t>Anesthesia for intraoral procedures, including biopsy; not otherwise specified</w:t>
            </w:r>
          </w:p>
        </w:tc>
      </w:tr>
      <w:tr w:rsidR="00DA5515" w:rsidRPr="005144C0" w14:paraId="277764E2" w14:textId="77777777" w:rsidTr="00305F72">
        <w:tc>
          <w:tcPr>
            <w:tcW w:w="1117" w:type="dxa"/>
          </w:tcPr>
          <w:p w14:paraId="3F950506" w14:textId="77777777" w:rsidR="00DA5515" w:rsidRDefault="00DA5515" w:rsidP="00DA5515">
            <w:pPr>
              <w:tabs>
                <w:tab w:val="left" w:pos="706"/>
              </w:tabs>
            </w:pPr>
            <w:r>
              <w:t>00190</w:t>
            </w:r>
          </w:p>
        </w:tc>
        <w:tc>
          <w:tcPr>
            <w:tcW w:w="8238" w:type="dxa"/>
          </w:tcPr>
          <w:p w14:paraId="52EE9FDB" w14:textId="77777777" w:rsidR="00DA5515" w:rsidRDefault="00DA5515" w:rsidP="00DA5515">
            <w:r>
              <w:t>Anesthesia for procedures on facial bones or skull; not otherwise specified</w:t>
            </w:r>
          </w:p>
        </w:tc>
      </w:tr>
    </w:tbl>
    <w:p w14:paraId="2A660127" w14:textId="77777777" w:rsidR="00AF5490" w:rsidRDefault="00AF5490" w:rsidP="00AF5490"/>
    <w:tbl>
      <w:tblPr>
        <w:tblStyle w:val="TableGrid"/>
        <w:tblW w:w="5000" w:type="pct"/>
        <w:tblLook w:val="0020" w:firstRow="1" w:lastRow="0" w:firstColumn="0" w:lastColumn="0" w:noHBand="0" w:noVBand="0"/>
      </w:tblPr>
      <w:tblGrid>
        <w:gridCol w:w="1122"/>
        <w:gridCol w:w="8228"/>
      </w:tblGrid>
      <w:tr w:rsidR="003F3D44" w:rsidRPr="00B777AF" w14:paraId="2C35A21C" w14:textId="77777777" w:rsidTr="00305F72">
        <w:trPr>
          <w:tblHeader/>
        </w:trPr>
        <w:tc>
          <w:tcPr>
            <w:tcW w:w="1127" w:type="dxa"/>
            <w:shd w:val="clear" w:color="auto" w:fill="00548C"/>
          </w:tcPr>
          <w:p w14:paraId="264700D9" w14:textId="77777777"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8588" w:type="dxa"/>
            <w:shd w:val="clear" w:color="auto" w:fill="00548C"/>
          </w:tcPr>
          <w:p w14:paraId="0CF849D8" w14:textId="77777777" w:rsidR="003F3D44" w:rsidRPr="00B777AF" w:rsidRDefault="003F3D44" w:rsidP="00556CBA">
            <w:pPr>
              <w:rPr>
                <w:b/>
                <w:bCs/>
                <w:color w:val="FFFFFF" w:themeColor="background1"/>
              </w:rPr>
            </w:pPr>
            <w:r w:rsidRPr="00B777AF">
              <w:rPr>
                <w:b/>
                <w:color w:val="FFFFFF" w:themeColor="background1"/>
              </w:rPr>
              <w:t>Description</w:t>
            </w:r>
          </w:p>
        </w:tc>
      </w:tr>
      <w:tr w:rsidR="008253CD" w:rsidRPr="005144C0" w14:paraId="3E06EC8A" w14:textId="77777777" w:rsidTr="00305F72">
        <w:tc>
          <w:tcPr>
            <w:tcW w:w="1127" w:type="dxa"/>
          </w:tcPr>
          <w:p w14:paraId="2098E052" w14:textId="77777777" w:rsidR="008253CD" w:rsidRDefault="008253CD" w:rsidP="00DA5515">
            <w:r>
              <w:t>D9222</w:t>
            </w:r>
          </w:p>
        </w:tc>
        <w:tc>
          <w:tcPr>
            <w:tcW w:w="8588" w:type="dxa"/>
          </w:tcPr>
          <w:p w14:paraId="23E25C98" w14:textId="77777777" w:rsidR="008253CD" w:rsidRDefault="008253CD" w:rsidP="00DA5515">
            <w:r>
              <w:t>D</w:t>
            </w:r>
            <w:r w:rsidRPr="008253CD">
              <w:t>eep sedation/general anesthesia – first 15 minutes</w:t>
            </w:r>
          </w:p>
        </w:tc>
      </w:tr>
      <w:tr w:rsidR="001A25F8" w:rsidRPr="005144C0" w14:paraId="6E813CE4" w14:textId="77777777" w:rsidTr="00305F72">
        <w:tc>
          <w:tcPr>
            <w:tcW w:w="1127" w:type="dxa"/>
          </w:tcPr>
          <w:p w14:paraId="2AAD4240" w14:textId="77777777" w:rsidR="001A25F8" w:rsidRDefault="001A25F8" w:rsidP="00DA5515">
            <w:r>
              <w:t>D9223</w:t>
            </w:r>
          </w:p>
        </w:tc>
        <w:tc>
          <w:tcPr>
            <w:tcW w:w="8588" w:type="dxa"/>
          </w:tcPr>
          <w:p w14:paraId="53D35C1A" w14:textId="77777777" w:rsidR="001A25F8" w:rsidRDefault="001A25F8" w:rsidP="00DA5515">
            <w:r>
              <w:t xml:space="preserve">Deep sedation/general anesthesia – each </w:t>
            </w:r>
            <w:r w:rsidR="008253CD">
              <w:t xml:space="preserve">subsequent </w:t>
            </w:r>
            <w:r>
              <w:t>15 minute increment</w:t>
            </w:r>
          </w:p>
        </w:tc>
      </w:tr>
      <w:tr w:rsidR="001A25F8" w:rsidRPr="005144C0" w14:paraId="08BF9BA0" w14:textId="77777777" w:rsidTr="00305F72">
        <w:tc>
          <w:tcPr>
            <w:tcW w:w="1127" w:type="dxa"/>
          </w:tcPr>
          <w:p w14:paraId="6F09E2CC" w14:textId="77777777" w:rsidR="001A25F8" w:rsidRDefault="001A25F8" w:rsidP="00DA5515">
            <w:r>
              <w:t>D9230</w:t>
            </w:r>
          </w:p>
        </w:tc>
        <w:tc>
          <w:tcPr>
            <w:tcW w:w="8588" w:type="dxa"/>
          </w:tcPr>
          <w:p w14:paraId="694EA292" w14:textId="77777777" w:rsidR="001A25F8" w:rsidRDefault="001A25F8" w:rsidP="00DA5515">
            <w:r>
              <w:t>Inhalation of nitrous oxide/analgesia, anxiolysis</w:t>
            </w:r>
          </w:p>
        </w:tc>
      </w:tr>
      <w:tr w:rsidR="008253CD" w:rsidRPr="005144C0" w14:paraId="18821E3F" w14:textId="77777777" w:rsidTr="00305F72">
        <w:tc>
          <w:tcPr>
            <w:tcW w:w="1127" w:type="dxa"/>
          </w:tcPr>
          <w:p w14:paraId="39C201C6" w14:textId="77777777" w:rsidR="008253CD" w:rsidRDefault="008253CD" w:rsidP="00DA5515">
            <w:r>
              <w:t>D9239</w:t>
            </w:r>
          </w:p>
        </w:tc>
        <w:tc>
          <w:tcPr>
            <w:tcW w:w="8588" w:type="dxa"/>
          </w:tcPr>
          <w:p w14:paraId="62CAC8B1" w14:textId="77777777" w:rsidR="008253CD" w:rsidRDefault="008253CD" w:rsidP="00DA5515">
            <w:r>
              <w:t>I</w:t>
            </w:r>
            <w:r w:rsidRPr="008253CD">
              <w:t>ntravenous moderate (conscious) sedation/analgesia – first 15 minutes</w:t>
            </w:r>
          </w:p>
        </w:tc>
      </w:tr>
      <w:tr w:rsidR="001A25F8" w:rsidRPr="005144C0" w14:paraId="19AFF01F" w14:textId="77777777" w:rsidTr="00305F72">
        <w:tc>
          <w:tcPr>
            <w:tcW w:w="1127" w:type="dxa"/>
          </w:tcPr>
          <w:p w14:paraId="52CF1899" w14:textId="77777777" w:rsidR="001A25F8" w:rsidRDefault="001A25F8" w:rsidP="00DA5515">
            <w:r>
              <w:t>D9243</w:t>
            </w:r>
          </w:p>
        </w:tc>
        <w:tc>
          <w:tcPr>
            <w:tcW w:w="8588" w:type="dxa"/>
          </w:tcPr>
          <w:p w14:paraId="6DEF8AE2" w14:textId="77777777" w:rsidR="001A25F8" w:rsidRDefault="001A25F8" w:rsidP="00DA5515">
            <w:r>
              <w:t xml:space="preserve">Intravenous moderate (conscious) sedation/analgesia – each </w:t>
            </w:r>
            <w:r w:rsidR="008253CD">
              <w:t xml:space="preserve">subsequent </w:t>
            </w:r>
            <w:r>
              <w:t>15 minute increment</w:t>
            </w:r>
          </w:p>
        </w:tc>
      </w:tr>
      <w:tr w:rsidR="00DA5515" w:rsidRPr="005144C0" w14:paraId="6506EB37" w14:textId="77777777" w:rsidTr="00305F72">
        <w:tc>
          <w:tcPr>
            <w:tcW w:w="1127" w:type="dxa"/>
          </w:tcPr>
          <w:p w14:paraId="0D9B9E05" w14:textId="77777777" w:rsidR="00DA5515" w:rsidRDefault="00DA5515" w:rsidP="00DA5515">
            <w:r>
              <w:t>D9248</w:t>
            </w:r>
          </w:p>
        </w:tc>
        <w:tc>
          <w:tcPr>
            <w:tcW w:w="8588" w:type="dxa"/>
          </w:tcPr>
          <w:p w14:paraId="2609E79B" w14:textId="77777777" w:rsidR="00DA5515" w:rsidRDefault="00DA5515" w:rsidP="00DA5515">
            <w:r>
              <w:t>Non-intravenous conscious sedation</w:t>
            </w:r>
          </w:p>
        </w:tc>
      </w:tr>
    </w:tbl>
    <w:p w14:paraId="557A88E0" w14:textId="77777777" w:rsidR="003F3D44" w:rsidRDefault="003F3D44"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5FC88E25"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58E1E8CB"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6DAC9167"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10531E92"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A427C4" w14:paraId="3767DB2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2C0209BE" w14:textId="77777777" w:rsidR="00A427C4" w:rsidRPr="006B09C6" w:rsidRDefault="00A427C4" w:rsidP="00C17CEF">
            <w:pPr>
              <w:tabs>
                <w:tab w:val="num" w:pos="720"/>
              </w:tabs>
            </w:pPr>
            <w:r>
              <w:t>Policy developed</w:t>
            </w:r>
          </w:p>
        </w:tc>
        <w:tc>
          <w:tcPr>
            <w:tcW w:w="810" w:type="dxa"/>
          </w:tcPr>
          <w:p w14:paraId="653C91DE" w14:textId="77777777" w:rsidR="00A427C4" w:rsidRPr="006B09C6" w:rsidRDefault="00A427C4" w:rsidP="00C17CEF">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5FB4D54D" w14:textId="77777777" w:rsidR="00A427C4" w:rsidRDefault="00A427C4" w:rsidP="00C17CEF">
            <w:pPr>
              <w:jc w:val="center"/>
            </w:pPr>
            <w:r>
              <w:t>06/13</w:t>
            </w:r>
          </w:p>
        </w:tc>
      </w:tr>
      <w:tr w:rsidR="00C17CEF" w14:paraId="4CD08AFD"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395FCBB0" w14:textId="77777777" w:rsidR="00C17CEF" w:rsidRPr="006B09C6" w:rsidRDefault="00C17CEF" w:rsidP="00C17CEF">
            <w:pPr>
              <w:tabs>
                <w:tab w:val="num" w:pos="720"/>
              </w:tabs>
            </w:pPr>
            <w:r>
              <w:t>Added examples of significantly complex dental procedures in policy section</w:t>
            </w:r>
          </w:p>
        </w:tc>
        <w:tc>
          <w:tcPr>
            <w:tcW w:w="810" w:type="dxa"/>
          </w:tcPr>
          <w:p w14:paraId="2B15EE96" w14:textId="77777777" w:rsidR="00C17CEF" w:rsidRPr="006B09C6" w:rsidRDefault="00C17CEF" w:rsidP="00C17CEF">
            <w:pPr>
              <w:jc w:val="center"/>
              <w:cnfStyle w:val="000000000000" w:firstRow="0" w:lastRow="0" w:firstColumn="0" w:lastColumn="0" w:oddVBand="0" w:evenVBand="0" w:oddHBand="0" w:evenHBand="0" w:firstRowFirstColumn="0" w:firstRowLastColumn="0" w:lastRowFirstColumn="0" w:lastRowLastColumn="0"/>
            </w:pPr>
            <w:r>
              <w:t>05/15</w:t>
            </w:r>
          </w:p>
        </w:tc>
        <w:tc>
          <w:tcPr>
            <w:cnfStyle w:val="000010000000" w:firstRow="0" w:lastRow="0" w:firstColumn="0" w:lastColumn="0" w:oddVBand="1" w:evenVBand="0" w:oddHBand="0" w:evenHBand="0" w:firstRowFirstColumn="0" w:firstRowLastColumn="0" w:lastRowFirstColumn="0" w:lastRowLastColumn="0"/>
            <w:tcW w:w="1260" w:type="dxa"/>
          </w:tcPr>
          <w:p w14:paraId="036ECD8F" w14:textId="77777777" w:rsidR="00C17CEF" w:rsidRDefault="00C17CEF" w:rsidP="00C17CEF">
            <w:pPr>
              <w:jc w:val="center"/>
            </w:pPr>
            <w:r>
              <w:t>06/15</w:t>
            </w:r>
          </w:p>
        </w:tc>
      </w:tr>
      <w:tr w:rsidR="00C17CEF" w14:paraId="7AF58B13"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770F3E8" w14:textId="77777777" w:rsidR="00C17CEF" w:rsidRDefault="00F5723C" w:rsidP="00C17CEF">
            <w:pPr>
              <w:tabs>
                <w:tab w:val="num" w:pos="720"/>
              </w:tabs>
            </w:pPr>
            <w:r>
              <w:t>Policy updated to new template</w:t>
            </w:r>
          </w:p>
          <w:p w14:paraId="434A0FFB" w14:textId="77777777" w:rsidR="00F5723C" w:rsidRDefault="00F5723C" w:rsidP="00C17CEF">
            <w:pPr>
              <w:tabs>
                <w:tab w:val="num" w:pos="720"/>
              </w:tabs>
            </w:pPr>
            <w:r>
              <w:t>References reviewed and updated</w:t>
            </w:r>
          </w:p>
        </w:tc>
        <w:tc>
          <w:tcPr>
            <w:tcW w:w="810" w:type="dxa"/>
          </w:tcPr>
          <w:p w14:paraId="0B53DE0A" w14:textId="77777777" w:rsidR="00C17CEF" w:rsidRDefault="00F5723C" w:rsidP="00C17CEF">
            <w:pPr>
              <w:jc w:val="center"/>
              <w:cnfStyle w:val="000000100000" w:firstRow="0" w:lastRow="0" w:firstColumn="0" w:lastColumn="0" w:oddVBand="0" w:evenVBand="0" w:oddHBand="1" w:evenHBand="0" w:firstRowFirstColumn="0" w:firstRowLastColumn="0" w:lastRowFirstColumn="0" w:lastRowLastColumn="0"/>
            </w:pPr>
            <w:r>
              <w:t>06/16</w:t>
            </w:r>
          </w:p>
        </w:tc>
        <w:tc>
          <w:tcPr>
            <w:cnfStyle w:val="000010000000" w:firstRow="0" w:lastRow="0" w:firstColumn="0" w:lastColumn="0" w:oddVBand="1" w:evenVBand="0" w:oddHBand="0" w:evenHBand="0" w:firstRowFirstColumn="0" w:firstRowLastColumn="0" w:lastRowFirstColumn="0" w:lastRowLastColumn="0"/>
            <w:tcW w:w="1260" w:type="dxa"/>
          </w:tcPr>
          <w:p w14:paraId="2B79CE8C" w14:textId="77777777" w:rsidR="00C17CEF" w:rsidRDefault="00190C03" w:rsidP="00C17CEF">
            <w:pPr>
              <w:jc w:val="center"/>
            </w:pPr>
            <w:r>
              <w:t>06/16</w:t>
            </w:r>
          </w:p>
        </w:tc>
      </w:tr>
      <w:tr w:rsidR="002F4A91" w14:paraId="654FAA1E"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38E55D47" w14:textId="77777777" w:rsidR="002F4A91" w:rsidRDefault="002F4A91" w:rsidP="00C17CEF">
            <w:pPr>
              <w:tabs>
                <w:tab w:val="num" w:pos="720"/>
              </w:tabs>
            </w:pPr>
            <w:r>
              <w:t xml:space="preserve">References reviewed and updated </w:t>
            </w:r>
          </w:p>
        </w:tc>
        <w:tc>
          <w:tcPr>
            <w:tcW w:w="810" w:type="dxa"/>
          </w:tcPr>
          <w:p w14:paraId="52382C8E" w14:textId="77777777" w:rsidR="002F4A91" w:rsidRDefault="002F4A91" w:rsidP="00C17CEF">
            <w:pPr>
              <w:jc w:val="center"/>
              <w:cnfStyle w:val="000000000000" w:firstRow="0" w:lastRow="0" w:firstColumn="0" w:lastColumn="0" w:oddVBand="0" w:evenVBand="0" w:oddHBand="0" w:evenHBand="0" w:firstRowFirstColumn="0" w:firstRowLastColumn="0" w:lastRowFirstColumn="0" w:lastRowLastColumn="0"/>
            </w:pPr>
            <w:r>
              <w:t>05/17</w:t>
            </w:r>
          </w:p>
        </w:tc>
        <w:tc>
          <w:tcPr>
            <w:cnfStyle w:val="000010000000" w:firstRow="0" w:lastRow="0" w:firstColumn="0" w:lastColumn="0" w:oddVBand="1" w:evenVBand="0" w:oddHBand="0" w:evenHBand="0" w:firstRowFirstColumn="0" w:firstRowLastColumn="0" w:lastRowFirstColumn="0" w:lastRowLastColumn="0"/>
            <w:tcW w:w="1260" w:type="dxa"/>
          </w:tcPr>
          <w:p w14:paraId="50123387" w14:textId="77777777" w:rsidR="002F4A91" w:rsidRDefault="000E6170" w:rsidP="00C17CEF">
            <w:pPr>
              <w:jc w:val="center"/>
            </w:pPr>
            <w:r>
              <w:t>06/17</w:t>
            </w:r>
          </w:p>
        </w:tc>
      </w:tr>
      <w:tr w:rsidR="00A427C4" w14:paraId="66AA5850"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3C3E2634" w14:textId="77777777" w:rsidR="00A427C4" w:rsidRDefault="009D08A3" w:rsidP="00C17CEF">
            <w:pPr>
              <w:tabs>
                <w:tab w:val="num" w:pos="720"/>
              </w:tabs>
            </w:pPr>
            <w:r w:rsidRPr="009D08A3">
              <w:t>References reviewed and updated</w:t>
            </w:r>
            <w:r>
              <w:t>.  Code updates</w:t>
            </w:r>
          </w:p>
        </w:tc>
        <w:tc>
          <w:tcPr>
            <w:tcW w:w="810" w:type="dxa"/>
          </w:tcPr>
          <w:p w14:paraId="374C628C" w14:textId="77777777" w:rsidR="00A427C4" w:rsidRDefault="009D08A3" w:rsidP="00C17CEF">
            <w:pPr>
              <w:jc w:val="center"/>
              <w:cnfStyle w:val="000000100000" w:firstRow="0" w:lastRow="0" w:firstColumn="0" w:lastColumn="0" w:oddVBand="0" w:evenVBand="0" w:oddHBand="1" w:evenHBand="0" w:firstRowFirstColumn="0" w:firstRowLastColumn="0" w:lastRowFirstColumn="0" w:lastRowLastColumn="0"/>
            </w:pPr>
            <w:r>
              <w:t>03/18</w:t>
            </w:r>
          </w:p>
        </w:tc>
        <w:tc>
          <w:tcPr>
            <w:cnfStyle w:val="000010000000" w:firstRow="0" w:lastRow="0" w:firstColumn="0" w:lastColumn="0" w:oddVBand="1" w:evenVBand="0" w:oddHBand="0" w:evenHBand="0" w:firstRowFirstColumn="0" w:firstRowLastColumn="0" w:lastRowFirstColumn="0" w:lastRowLastColumn="0"/>
            <w:tcW w:w="1260" w:type="dxa"/>
          </w:tcPr>
          <w:p w14:paraId="086D5D8B" w14:textId="77777777" w:rsidR="00A427C4" w:rsidRDefault="00915BF4" w:rsidP="00C17CEF">
            <w:pPr>
              <w:jc w:val="center"/>
            </w:pPr>
            <w:r>
              <w:t>04/18</w:t>
            </w:r>
          </w:p>
        </w:tc>
      </w:tr>
      <w:tr w:rsidR="00BA17A0" w14:paraId="4FBCB02A"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692214F7" w14:textId="2322D1D7" w:rsidR="00BA17A0" w:rsidRPr="009D08A3" w:rsidRDefault="00D03FF0" w:rsidP="00C17CEF">
            <w:pPr>
              <w:tabs>
                <w:tab w:val="num" w:pos="720"/>
              </w:tabs>
            </w:pPr>
            <w:r>
              <w:t>References reviewed and updated.</w:t>
            </w:r>
            <w:r w:rsidR="00131882">
              <w:t xml:space="preserve"> Specialist reviewed.</w:t>
            </w:r>
          </w:p>
        </w:tc>
        <w:tc>
          <w:tcPr>
            <w:tcW w:w="810" w:type="dxa"/>
          </w:tcPr>
          <w:p w14:paraId="5B8B25EA" w14:textId="14BF1F37" w:rsidR="00BA17A0" w:rsidRDefault="00BA17A0" w:rsidP="00C17CEF">
            <w:pPr>
              <w:jc w:val="center"/>
              <w:cnfStyle w:val="000000000000" w:firstRow="0" w:lastRow="0" w:firstColumn="0" w:lastColumn="0" w:oddVBand="0" w:evenVBand="0" w:oddHBand="0" w:evenHBand="0" w:firstRowFirstColumn="0" w:firstRowLastColumn="0" w:lastRowFirstColumn="0" w:lastRowLastColumn="0"/>
            </w:pPr>
            <w:r>
              <w:t>03/19</w:t>
            </w:r>
          </w:p>
        </w:tc>
        <w:tc>
          <w:tcPr>
            <w:cnfStyle w:val="000010000000" w:firstRow="0" w:lastRow="0" w:firstColumn="0" w:lastColumn="0" w:oddVBand="1" w:evenVBand="0" w:oddHBand="0" w:evenHBand="0" w:firstRowFirstColumn="0" w:firstRowLastColumn="0" w:lastRowFirstColumn="0" w:lastRowLastColumn="0"/>
            <w:tcW w:w="1260" w:type="dxa"/>
          </w:tcPr>
          <w:p w14:paraId="043A6837" w14:textId="13BB2EEF" w:rsidR="00BA17A0" w:rsidRDefault="00DA3CFE" w:rsidP="00C17CEF">
            <w:pPr>
              <w:jc w:val="center"/>
            </w:pPr>
            <w:r>
              <w:t>04/19</w:t>
            </w:r>
          </w:p>
        </w:tc>
      </w:tr>
    </w:tbl>
    <w:p w14:paraId="300AE575" w14:textId="77777777" w:rsidR="00B777AF" w:rsidRDefault="00B777AF" w:rsidP="00B777AF">
      <w:pPr>
        <w:pStyle w:val="Heading6"/>
        <w:tabs>
          <w:tab w:val="clear" w:pos="0"/>
        </w:tabs>
      </w:pPr>
    </w:p>
    <w:p w14:paraId="2D117EAA" w14:textId="77777777" w:rsidR="00963062" w:rsidRDefault="003F3D44" w:rsidP="00CA3539">
      <w:pPr>
        <w:pStyle w:val="Heading3"/>
      </w:pPr>
      <w:r>
        <w:t>References</w:t>
      </w:r>
    </w:p>
    <w:p w14:paraId="13350C56" w14:textId="78CA8959" w:rsidR="00CA3539" w:rsidRPr="00305F72" w:rsidRDefault="00CA3539" w:rsidP="00305F72">
      <w:pPr>
        <w:pStyle w:val="ListParagraph"/>
        <w:numPr>
          <w:ilvl w:val="0"/>
          <w:numId w:val="23"/>
        </w:numPr>
        <w:tabs>
          <w:tab w:val="left" w:pos="360"/>
        </w:tabs>
        <w:ind w:left="360" w:hanging="270"/>
        <w:rPr>
          <w:bCs/>
        </w:rPr>
      </w:pPr>
      <w:r w:rsidRPr="00305F72">
        <w:rPr>
          <w:bCs/>
        </w:rPr>
        <w:t>American Academy of Pediatric Dentistry. General Anesthesia. Patient Brochure. Chicago, IL: AAPD; 20</w:t>
      </w:r>
      <w:r w:rsidR="006C6F38" w:rsidRPr="00305F72">
        <w:rPr>
          <w:bCs/>
        </w:rPr>
        <w:t>11</w:t>
      </w:r>
      <w:r w:rsidRPr="00305F72">
        <w:rPr>
          <w:bCs/>
        </w:rPr>
        <w:t>.</w:t>
      </w:r>
      <w:r w:rsidR="00BA17A0" w:rsidRPr="00BA17A0">
        <w:t xml:space="preserve"> </w:t>
      </w:r>
      <w:hyperlink r:id="rId15" w:history="1">
        <w:r w:rsidR="00BA17A0" w:rsidRPr="00305F72">
          <w:rPr>
            <w:rStyle w:val="Hyperlink"/>
            <w:bCs/>
          </w:rPr>
          <w:t>https://www.aapd.org/resources/p</w:t>
        </w:r>
        <w:r w:rsidR="00BA17A0" w:rsidRPr="00305F72">
          <w:rPr>
            <w:rStyle w:val="Hyperlink"/>
            <w:bCs/>
          </w:rPr>
          <w:t>a</w:t>
        </w:r>
        <w:r w:rsidR="00BA17A0" w:rsidRPr="00305F72">
          <w:rPr>
            <w:rStyle w:val="Hyperlink"/>
            <w:bCs/>
          </w:rPr>
          <w:t>rent/brochures/</w:t>
        </w:r>
      </w:hyperlink>
      <w:r w:rsidR="00305F72" w:rsidRPr="00305F72">
        <w:rPr>
          <w:bCs/>
        </w:rPr>
        <w:t xml:space="preserve"> </w:t>
      </w:r>
      <w:r w:rsidR="00BA17A0" w:rsidRPr="00BA17A0">
        <w:t xml:space="preserve"> </w:t>
      </w:r>
      <w:hyperlink w:history="1"/>
      <w:r w:rsidRPr="00305F72">
        <w:rPr>
          <w:bCs/>
        </w:rPr>
        <w:t xml:space="preserve"> </w:t>
      </w:r>
    </w:p>
    <w:p w14:paraId="75270B24" w14:textId="7D94F225" w:rsidR="00CA3539" w:rsidRPr="00E31989" w:rsidRDefault="00993F8A" w:rsidP="00E31989">
      <w:pPr>
        <w:pStyle w:val="ListParagraph"/>
        <w:numPr>
          <w:ilvl w:val="0"/>
          <w:numId w:val="23"/>
        </w:numPr>
        <w:tabs>
          <w:tab w:val="left" w:pos="360"/>
        </w:tabs>
        <w:ind w:left="360"/>
        <w:rPr>
          <w:bCs/>
        </w:rPr>
      </w:pPr>
      <w:r w:rsidRPr="00E31989">
        <w:rPr>
          <w:bCs/>
          <w:iCs/>
        </w:rPr>
        <w:t>American Academy of Pediatric Dentistry</w:t>
      </w:r>
      <w:r w:rsidR="00CA3539" w:rsidRPr="00E31989">
        <w:rPr>
          <w:bCs/>
        </w:rPr>
        <w:t xml:space="preserve">. General Anesthesia Legislation.  </w:t>
      </w:r>
    </w:p>
    <w:p w14:paraId="75E3645A" w14:textId="6E94B38C" w:rsidR="00CA3539" w:rsidRPr="00E31989" w:rsidRDefault="00993F8A" w:rsidP="00E31989">
      <w:pPr>
        <w:pStyle w:val="ListParagraph"/>
        <w:numPr>
          <w:ilvl w:val="0"/>
          <w:numId w:val="23"/>
        </w:numPr>
        <w:tabs>
          <w:tab w:val="left" w:pos="360"/>
        </w:tabs>
        <w:ind w:left="360"/>
        <w:rPr>
          <w:bCs/>
        </w:rPr>
      </w:pPr>
      <w:r w:rsidRPr="00E31989">
        <w:rPr>
          <w:bCs/>
          <w:iCs/>
        </w:rPr>
        <w:t>American Academy of Pediatric Dentistry</w:t>
      </w:r>
      <w:r w:rsidR="00CA3539" w:rsidRPr="00E31989">
        <w:rPr>
          <w:bCs/>
        </w:rPr>
        <w:t xml:space="preserve">. Pediatric Oral Health Research &amp; Policy Center, Technical Report 2-2012: An essential health benefit: general anesthesia for treatment of early childhood caries.  </w:t>
      </w:r>
    </w:p>
    <w:p w14:paraId="2F8DCFB3" w14:textId="33F7C2B6" w:rsidR="00CA3539" w:rsidRPr="00E31989" w:rsidRDefault="00CA3539" w:rsidP="00084C21">
      <w:pPr>
        <w:pStyle w:val="ListParagraph"/>
        <w:numPr>
          <w:ilvl w:val="0"/>
          <w:numId w:val="23"/>
        </w:numPr>
        <w:tabs>
          <w:tab w:val="left" w:pos="360"/>
        </w:tabs>
        <w:ind w:left="360"/>
        <w:rPr>
          <w:bCs/>
          <w:iCs/>
        </w:rPr>
      </w:pPr>
      <w:r w:rsidRPr="00E31989">
        <w:rPr>
          <w:bCs/>
          <w:iCs/>
        </w:rPr>
        <w:t xml:space="preserve">American Dental Association Policy Statement: The use of sedation, and general anesthesia </w:t>
      </w:r>
      <w:r w:rsidR="00084C21">
        <w:rPr>
          <w:bCs/>
          <w:iCs/>
        </w:rPr>
        <w:t>by dentists.</w:t>
      </w:r>
      <w:bookmarkStart w:id="2" w:name="_GoBack"/>
      <w:bookmarkEnd w:id="2"/>
      <w:r w:rsidRPr="00E31989">
        <w:rPr>
          <w:bCs/>
          <w:iCs/>
        </w:rPr>
        <w:t xml:space="preserve"> As adopted by the October 2007 ADA House of Delegates.</w:t>
      </w:r>
      <w:r w:rsidR="00084C21">
        <w:rPr>
          <w:bCs/>
          <w:iCs/>
        </w:rPr>
        <w:t xml:space="preserve"> </w:t>
      </w:r>
    </w:p>
    <w:p w14:paraId="6E65DB5E" w14:textId="77777777" w:rsidR="00CA3539" w:rsidRDefault="00CA3539" w:rsidP="00E31989">
      <w:pPr>
        <w:pStyle w:val="ListParagraph"/>
        <w:numPr>
          <w:ilvl w:val="0"/>
          <w:numId w:val="23"/>
        </w:numPr>
        <w:tabs>
          <w:tab w:val="left" w:pos="360"/>
        </w:tabs>
        <w:ind w:left="360"/>
        <w:rPr>
          <w:bCs/>
          <w:iCs/>
        </w:rPr>
      </w:pPr>
      <w:r w:rsidRPr="00E31989">
        <w:rPr>
          <w:bCs/>
          <w:iCs/>
        </w:rPr>
        <w:t>American Academy of Pediatric Dentistry. Guideline on use of anesthesia personnel in the administration of office-based deep sedation/general anesthesia to the pediatric dental patient.</w:t>
      </w:r>
      <w:r w:rsidRPr="00E31989">
        <w:rPr>
          <w:rFonts w:ascii="Calibri" w:hAnsi="Calibri" w:cs="Calibri"/>
          <w:i/>
          <w:iCs/>
          <w:color w:val="211D1E"/>
          <w:sz w:val="20"/>
          <w:szCs w:val="20"/>
        </w:rPr>
        <w:t xml:space="preserve"> </w:t>
      </w:r>
      <w:r w:rsidRPr="00E31989">
        <w:rPr>
          <w:bCs/>
          <w:iCs/>
        </w:rPr>
        <w:t xml:space="preserve">Adopted 2001, Revised, 2005, 2007, 2009, 2012.  </w:t>
      </w:r>
    </w:p>
    <w:p w14:paraId="549DA114" w14:textId="77777777" w:rsidR="002B1091" w:rsidRDefault="002B1091" w:rsidP="002B1091">
      <w:pPr>
        <w:pStyle w:val="ListParagraph"/>
        <w:numPr>
          <w:ilvl w:val="0"/>
          <w:numId w:val="23"/>
        </w:numPr>
        <w:tabs>
          <w:tab w:val="left" w:pos="360"/>
        </w:tabs>
        <w:ind w:left="360"/>
        <w:rPr>
          <w:bCs/>
          <w:iCs/>
        </w:rPr>
      </w:pPr>
      <w:r>
        <w:rPr>
          <w:bCs/>
          <w:iCs/>
        </w:rPr>
        <w:t xml:space="preserve">Cote CJ, Wilson S, American Academy of Pediatrics, American Academy of </w:t>
      </w:r>
      <w:r w:rsidR="00780C71">
        <w:rPr>
          <w:bCs/>
          <w:iCs/>
        </w:rPr>
        <w:t>Pediatric</w:t>
      </w:r>
      <w:r>
        <w:rPr>
          <w:bCs/>
          <w:iCs/>
        </w:rPr>
        <w:t xml:space="preserve"> Dentistry.  </w:t>
      </w:r>
      <w:r w:rsidRPr="002B1091">
        <w:rPr>
          <w:bCs/>
          <w:iCs/>
        </w:rPr>
        <w:t>Guidelines for Monitoring and Management of Pediatric Patients Before, During, and After Sedation for Diagnostic and Therapeutic Procedures: Update 2016</w:t>
      </w:r>
      <w:r>
        <w:rPr>
          <w:bCs/>
          <w:iCs/>
        </w:rPr>
        <w:t xml:space="preserve">.  Available at: </w:t>
      </w:r>
      <w:hyperlink r:id="rId16" w:history="1">
        <w:r w:rsidRPr="00D85DA4">
          <w:rPr>
            <w:rStyle w:val="Hyperlink"/>
            <w:bCs/>
            <w:iCs/>
          </w:rPr>
          <w:t>http://pediatrics.aappublications.org/c</w:t>
        </w:r>
        <w:r w:rsidRPr="00D85DA4">
          <w:rPr>
            <w:rStyle w:val="Hyperlink"/>
            <w:bCs/>
            <w:iCs/>
          </w:rPr>
          <w:t>o</w:t>
        </w:r>
        <w:r w:rsidRPr="00D85DA4">
          <w:rPr>
            <w:rStyle w:val="Hyperlink"/>
            <w:bCs/>
            <w:iCs/>
          </w:rPr>
          <w:t>ntent/early/2016/06/24/peds.2016-1212</w:t>
        </w:r>
      </w:hyperlink>
      <w:r>
        <w:rPr>
          <w:bCs/>
          <w:iCs/>
        </w:rPr>
        <w:t xml:space="preserve">.  Accessed </w:t>
      </w:r>
      <w:r w:rsidR="00780C71">
        <w:rPr>
          <w:bCs/>
          <w:iCs/>
        </w:rPr>
        <w:t>March</w:t>
      </w:r>
      <w:r>
        <w:rPr>
          <w:bCs/>
          <w:iCs/>
        </w:rPr>
        <w:t xml:space="preserve"> 20,</w:t>
      </w:r>
      <w:r w:rsidR="00872D71">
        <w:rPr>
          <w:bCs/>
          <w:iCs/>
        </w:rPr>
        <w:t xml:space="preserve"> </w:t>
      </w:r>
      <w:r>
        <w:rPr>
          <w:bCs/>
          <w:iCs/>
        </w:rPr>
        <w:t>2018.</w:t>
      </w:r>
    </w:p>
    <w:p w14:paraId="3E3966E4" w14:textId="38074D50" w:rsidR="002B1091" w:rsidRPr="00780C71" w:rsidRDefault="002B1091" w:rsidP="00F924EA">
      <w:pPr>
        <w:pStyle w:val="ListParagraph"/>
        <w:numPr>
          <w:ilvl w:val="0"/>
          <w:numId w:val="23"/>
        </w:numPr>
        <w:tabs>
          <w:tab w:val="left" w:pos="360"/>
        </w:tabs>
        <w:ind w:left="360"/>
        <w:rPr>
          <w:bCs/>
          <w:iCs/>
        </w:rPr>
      </w:pPr>
      <w:r w:rsidRPr="00780C71">
        <w:rPr>
          <w:bCs/>
          <w:iCs/>
        </w:rPr>
        <w:t>American Dental Association</w:t>
      </w:r>
      <w:r w:rsidR="00780C71" w:rsidRPr="00780C71">
        <w:rPr>
          <w:bCs/>
          <w:iCs/>
        </w:rPr>
        <w:t xml:space="preserve">.  Guidelines for the Use of Sedation and General Anesthesia by Dentists. </w:t>
      </w:r>
      <w:r w:rsidRPr="00780C71">
        <w:rPr>
          <w:bCs/>
          <w:iCs/>
        </w:rPr>
        <w:t xml:space="preserve"> </w:t>
      </w:r>
      <w:r w:rsidR="00780C71" w:rsidRPr="00780C71">
        <w:rPr>
          <w:bCs/>
          <w:iCs/>
        </w:rPr>
        <w:t>Adopted by the ADA House of Delegates, October 2016</w:t>
      </w:r>
    </w:p>
    <w:p w14:paraId="3B2CFE83" w14:textId="77777777" w:rsidR="001148A8" w:rsidRDefault="001148A8" w:rsidP="00963062"/>
    <w:p w14:paraId="482CBE95" w14:textId="77777777" w:rsidR="00DD6ADB" w:rsidRPr="00DA5515" w:rsidRDefault="00C06257" w:rsidP="00DA5515">
      <w:pPr>
        <w:rPr>
          <w:rFonts w:eastAsiaTheme="minorHAnsi"/>
          <w:b/>
          <w:sz w:val="22"/>
          <w:szCs w:val="22"/>
          <w:u w:val="single"/>
        </w:rPr>
      </w:pPr>
      <w:bookmarkStart w:id="3" w:name="Important_Reminder"/>
      <w:r w:rsidRPr="00DA5515">
        <w:rPr>
          <w:rFonts w:eastAsiaTheme="minorHAnsi"/>
          <w:b/>
          <w:bCs/>
          <w:sz w:val="22"/>
          <w:szCs w:val="22"/>
          <w:u w:val="single"/>
        </w:rPr>
        <w:t>Important R</w:t>
      </w:r>
      <w:r w:rsidR="005D7B81" w:rsidRPr="00DA5515">
        <w:rPr>
          <w:rFonts w:eastAsiaTheme="minorHAnsi"/>
          <w:b/>
          <w:bCs/>
          <w:sz w:val="22"/>
          <w:szCs w:val="22"/>
          <w:u w:val="single"/>
        </w:rPr>
        <w:t>eminder</w:t>
      </w:r>
      <w:bookmarkEnd w:id="3"/>
    </w:p>
    <w:p w14:paraId="77982F8B" w14:textId="77777777" w:rsidR="00DD6ADB" w:rsidRPr="00DA5515" w:rsidRDefault="00DD6ADB" w:rsidP="00DA5515">
      <w:pPr>
        <w:rPr>
          <w:rFonts w:eastAsiaTheme="minorHAnsi"/>
          <w:sz w:val="22"/>
          <w:szCs w:val="22"/>
        </w:rPr>
      </w:pPr>
      <w:r w:rsidRPr="00DA5515">
        <w:rPr>
          <w:rFonts w:eastAsiaTheme="minorHAnsi"/>
          <w:sz w:val="22"/>
          <w:szCs w:val="22"/>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DA5515">
        <w:rPr>
          <w:rFonts w:eastAsiaTheme="minorHAnsi"/>
          <w:iCs/>
          <w:sz w:val="22"/>
          <w:szCs w:val="22"/>
        </w:rPr>
        <w:t>The Health Plan</w:t>
      </w:r>
      <w:r w:rsidRPr="00DA5515">
        <w:rPr>
          <w:rFonts w:eastAsiaTheme="minorHAnsi"/>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2464EA66" w14:textId="77777777" w:rsidR="00DD6ADB" w:rsidRPr="00DA5515" w:rsidRDefault="00DD6ADB" w:rsidP="00DA5515">
      <w:pPr>
        <w:rPr>
          <w:rFonts w:eastAsiaTheme="minorHAnsi"/>
          <w:sz w:val="22"/>
          <w:szCs w:val="22"/>
        </w:rPr>
      </w:pPr>
    </w:p>
    <w:p w14:paraId="4E810B1E" w14:textId="77777777" w:rsidR="00DD6ADB" w:rsidRPr="00DA5515" w:rsidRDefault="00DD6ADB" w:rsidP="00DA5515">
      <w:pPr>
        <w:rPr>
          <w:rFonts w:eastAsiaTheme="minorHAnsi"/>
          <w:sz w:val="22"/>
          <w:szCs w:val="22"/>
        </w:rPr>
      </w:pPr>
      <w:r w:rsidRPr="00DA5515">
        <w:rPr>
          <w:rFonts w:eastAsiaTheme="minorHAns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794635A" w14:textId="77777777" w:rsidR="00DD6ADB" w:rsidRPr="00DA5515" w:rsidRDefault="00DD6ADB" w:rsidP="00DA5515">
      <w:pPr>
        <w:rPr>
          <w:rFonts w:eastAsiaTheme="minorHAnsi"/>
          <w:sz w:val="22"/>
          <w:szCs w:val="22"/>
        </w:rPr>
      </w:pPr>
    </w:p>
    <w:p w14:paraId="22B44B4A" w14:textId="77777777" w:rsidR="00DD6ADB" w:rsidRPr="00DA5515" w:rsidRDefault="00DD6ADB" w:rsidP="00DA5515">
      <w:pPr>
        <w:rPr>
          <w:color w:val="002868"/>
          <w:sz w:val="22"/>
          <w:szCs w:val="22"/>
        </w:rPr>
      </w:pPr>
      <w:r w:rsidRPr="00DA5515">
        <w:rPr>
          <w:rFonts w:eastAsiaTheme="minorHAns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79B91651" w14:textId="77777777" w:rsidR="00DD6ADB" w:rsidRPr="00DA5515" w:rsidRDefault="00DD6ADB" w:rsidP="00DA5515">
      <w:pPr>
        <w:rPr>
          <w:rFonts w:eastAsiaTheme="minorHAnsi"/>
          <w:sz w:val="22"/>
          <w:szCs w:val="22"/>
        </w:rPr>
      </w:pPr>
    </w:p>
    <w:p w14:paraId="4C9A29B8" w14:textId="77777777" w:rsidR="00DD6ADB" w:rsidRPr="00DA5515" w:rsidRDefault="00DD6ADB" w:rsidP="00DA5515">
      <w:pPr>
        <w:rPr>
          <w:rFonts w:eastAsiaTheme="minorHAnsi"/>
        </w:rPr>
      </w:pPr>
      <w:r w:rsidRPr="00DA5515">
        <w:rPr>
          <w:rFonts w:eastAsiaTheme="minorHAnsi"/>
          <w:sz w:val="22"/>
          <w:szCs w:val="22"/>
        </w:rPr>
        <w:lastRenderedPageBreak/>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513F6144" w14:textId="77777777" w:rsidR="00DD6ADB" w:rsidRPr="00DA5515" w:rsidRDefault="00DD6ADB" w:rsidP="00DA5515">
      <w:pPr>
        <w:rPr>
          <w:rFonts w:eastAsiaTheme="minorHAnsi"/>
          <w:sz w:val="22"/>
          <w:szCs w:val="22"/>
        </w:rPr>
      </w:pPr>
    </w:p>
    <w:p w14:paraId="07835D5A" w14:textId="77777777" w:rsidR="00DD6ADB" w:rsidRPr="00DA5515" w:rsidRDefault="00DD6ADB" w:rsidP="00DA5515">
      <w:pPr>
        <w:rPr>
          <w:rFonts w:eastAsiaTheme="minorHAnsi"/>
          <w:sz w:val="22"/>
          <w:szCs w:val="22"/>
        </w:rPr>
      </w:pPr>
      <w:r w:rsidRPr="00DA5515">
        <w:rPr>
          <w:rFonts w:eastAsiaTheme="minorHAnsi"/>
          <w:sz w:val="22"/>
          <w:szCs w:val="22"/>
        </w:rPr>
        <w:t>Providers referred to in this clinical policy are independent contractors who exercise independent judgment and over whom the Health Plan has no control or right of control.  Providers are not agents or employees of the Health Plan.</w:t>
      </w:r>
    </w:p>
    <w:p w14:paraId="55A0EB88" w14:textId="77777777" w:rsidR="00DD6ADB" w:rsidRPr="00DA5515" w:rsidRDefault="00DD6ADB" w:rsidP="00DA5515">
      <w:pPr>
        <w:rPr>
          <w:rFonts w:eastAsiaTheme="minorHAnsi"/>
          <w:sz w:val="22"/>
          <w:szCs w:val="22"/>
        </w:rPr>
      </w:pPr>
    </w:p>
    <w:p w14:paraId="1978B632" w14:textId="77777777" w:rsidR="00DD6ADB" w:rsidRPr="00DA5515" w:rsidRDefault="00DD6ADB" w:rsidP="00DA5515">
      <w:pPr>
        <w:rPr>
          <w:rFonts w:eastAsiaTheme="minorHAnsi"/>
          <w:sz w:val="22"/>
          <w:szCs w:val="22"/>
        </w:rPr>
      </w:pPr>
      <w:r w:rsidRPr="00DA5515">
        <w:rPr>
          <w:rFonts w:eastAsiaTheme="minorHAnsi"/>
          <w:sz w:val="22"/>
          <w:szCs w:val="22"/>
        </w:rPr>
        <w:t xml:space="preserve">This clinical policy is the property of </w:t>
      </w:r>
      <w:r w:rsidRPr="00DA5515">
        <w:rPr>
          <w:rFonts w:eastAsiaTheme="minorHAnsi"/>
          <w:iCs/>
          <w:sz w:val="22"/>
          <w:szCs w:val="22"/>
        </w:rPr>
        <w:t>the Health Plan</w:t>
      </w:r>
      <w:r w:rsidRPr="00DA5515">
        <w:rPr>
          <w:rFonts w:eastAsiaTheme="minorHAns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46F26452" w14:textId="77777777" w:rsidR="00DD6ADB" w:rsidRPr="00DA5515" w:rsidRDefault="00DD6ADB" w:rsidP="00DA5515">
      <w:pPr>
        <w:autoSpaceDE w:val="0"/>
        <w:autoSpaceDN w:val="0"/>
        <w:adjustRightInd w:val="0"/>
        <w:rPr>
          <w:rFonts w:eastAsiaTheme="minorHAnsi"/>
          <w:color w:val="000000"/>
          <w:sz w:val="22"/>
          <w:szCs w:val="22"/>
        </w:rPr>
      </w:pPr>
    </w:p>
    <w:p w14:paraId="5BFF748E" w14:textId="77777777" w:rsidR="00DD6ADB" w:rsidRPr="00DA5515" w:rsidRDefault="00DD6ADB" w:rsidP="00DA5515">
      <w:pPr>
        <w:autoSpaceDE w:val="0"/>
        <w:autoSpaceDN w:val="0"/>
        <w:adjustRightInd w:val="0"/>
        <w:rPr>
          <w:rFonts w:eastAsiaTheme="minorHAnsi"/>
          <w:color w:val="000000"/>
          <w:sz w:val="22"/>
          <w:szCs w:val="22"/>
        </w:rPr>
      </w:pPr>
      <w:r w:rsidRPr="00DA5515">
        <w:rPr>
          <w:rFonts w:eastAsiaTheme="minorHAnsi"/>
          <w:b/>
          <w:color w:val="000000"/>
          <w:sz w:val="22"/>
          <w:szCs w:val="22"/>
        </w:rPr>
        <w:t>Note: For Medicaid members</w:t>
      </w:r>
      <w:r w:rsidRPr="00DA5515">
        <w:rPr>
          <w:rFonts w:eastAsiaTheme="minorHAns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2275276" w14:textId="77777777" w:rsidR="00DD6ADB" w:rsidRPr="00DA5515" w:rsidRDefault="00DD6ADB" w:rsidP="00DA5515">
      <w:pPr>
        <w:rPr>
          <w:rFonts w:eastAsiaTheme="minorHAnsi"/>
          <w:sz w:val="22"/>
          <w:szCs w:val="22"/>
        </w:rPr>
      </w:pPr>
    </w:p>
    <w:p w14:paraId="699361C4" w14:textId="77777777" w:rsidR="00DD6ADB" w:rsidRPr="00DA5515" w:rsidRDefault="00DD6ADB" w:rsidP="00DA5515">
      <w:pPr>
        <w:autoSpaceDE w:val="0"/>
        <w:autoSpaceDN w:val="0"/>
        <w:adjustRightInd w:val="0"/>
        <w:rPr>
          <w:color w:val="000000"/>
          <w:sz w:val="22"/>
        </w:rPr>
      </w:pPr>
      <w:r w:rsidRPr="00DA5515">
        <w:rPr>
          <w:rFonts w:eastAsiaTheme="minorHAnsi"/>
          <w:b/>
          <w:bCs/>
          <w:color w:val="000000"/>
          <w:sz w:val="22"/>
          <w:szCs w:val="22"/>
        </w:rPr>
        <w:t xml:space="preserve">Note: For Medicare members, </w:t>
      </w:r>
      <w:r w:rsidRPr="00DA5515">
        <w:rPr>
          <w:rFonts w:eastAsiaTheme="minorHAnsi"/>
          <w:color w:val="000000"/>
          <w:sz w:val="22"/>
          <w:szCs w:val="22"/>
        </w:rPr>
        <w:t>to ensure consistency with the Medicare National Coverage Determinations (NCD) and Local Coverage Determinations (LCD), all applicable NCDs</w:t>
      </w:r>
      <w:r w:rsidR="000E6170">
        <w:rPr>
          <w:rFonts w:eastAsiaTheme="minorHAnsi"/>
          <w:color w:val="000000"/>
          <w:sz w:val="22"/>
          <w:szCs w:val="22"/>
        </w:rPr>
        <w:t>,</w:t>
      </w:r>
      <w:r w:rsidR="009D08A3">
        <w:rPr>
          <w:rFonts w:eastAsiaTheme="minorHAnsi"/>
          <w:color w:val="000000"/>
          <w:sz w:val="22"/>
          <w:szCs w:val="22"/>
        </w:rPr>
        <w:t xml:space="preserve"> </w:t>
      </w:r>
      <w:r w:rsidRPr="00DA5515">
        <w:rPr>
          <w:rFonts w:eastAsiaTheme="minorHAnsi"/>
          <w:color w:val="000000"/>
          <w:sz w:val="22"/>
          <w:szCs w:val="22"/>
        </w:rPr>
        <w:t>LCDs</w:t>
      </w:r>
      <w:r w:rsidR="00C5317B">
        <w:rPr>
          <w:rFonts w:eastAsiaTheme="minorHAnsi"/>
          <w:color w:val="000000"/>
          <w:sz w:val="22"/>
          <w:szCs w:val="22"/>
        </w:rPr>
        <w:t>, and Medicare Coverage Articles</w:t>
      </w:r>
      <w:r w:rsidRPr="00DA5515">
        <w:rPr>
          <w:rFonts w:eastAsiaTheme="minorHAnsi"/>
          <w:color w:val="000000"/>
          <w:sz w:val="22"/>
          <w:szCs w:val="22"/>
        </w:rPr>
        <w:t xml:space="preserve"> should be reviewed </w:t>
      </w:r>
      <w:r w:rsidRPr="00DA5515">
        <w:rPr>
          <w:rFonts w:eastAsiaTheme="minorHAnsi"/>
          <w:color w:val="000000"/>
          <w:sz w:val="22"/>
          <w:szCs w:val="22"/>
          <w:u w:val="single"/>
        </w:rPr>
        <w:t>prior to</w:t>
      </w:r>
      <w:r w:rsidRPr="00DA5515">
        <w:rPr>
          <w:rFonts w:eastAsiaTheme="minorHAnsi"/>
          <w:color w:val="000000"/>
          <w:sz w:val="22"/>
          <w:szCs w:val="22"/>
        </w:rPr>
        <w:t xml:space="preserve"> applying the criteria set forth in this clinical policy. Refer to the CMS website at </w:t>
      </w:r>
      <w:hyperlink r:id="rId17" w:history="1">
        <w:r w:rsidRPr="00DA5515">
          <w:rPr>
            <w:rFonts w:eastAsiaTheme="minorHAnsi"/>
            <w:color w:val="000000"/>
            <w:sz w:val="22"/>
            <w:szCs w:val="22"/>
            <w:u w:val="single"/>
          </w:rPr>
          <w:t>http://www.cms.gov</w:t>
        </w:r>
      </w:hyperlink>
      <w:r w:rsidRPr="00DA5515">
        <w:rPr>
          <w:rFonts w:eastAsiaTheme="minorHAnsi"/>
          <w:color w:val="000000"/>
          <w:sz w:val="22"/>
          <w:szCs w:val="22"/>
        </w:rPr>
        <w:t xml:space="preserve"> for additional information.</w:t>
      </w:r>
      <w:r w:rsidRPr="00DA5515">
        <w:rPr>
          <w:color w:val="000000"/>
          <w:sz w:val="22"/>
        </w:rPr>
        <w:t xml:space="preserve"> </w:t>
      </w:r>
    </w:p>
    <w:p w14:paraId="561A816E" w14:textId="77777777" w:rsidR="00875924" w:rsidRPr="00DA5515" w:rsidRDefault="00875924" w:rsidP="00DA5515">
      <w:pPr>
        <w:rPr>
          <w:iCs/>
        </w:rPr>
      </w:pPr>
    </w:p>
    <w:p w14:paraId="51E44202" w14:textId="77777777" w:rsidR="00C75BD4" w:rsidRPr="00DA5515" w:rsidRDefault="00C75BD4" w:rsidP="00DA5515">
      <w:pPr>
        <w:rPr>
          <w:iCs/>
          <w:sz w:val="22"/>
        </w:rPr>
      </w:pPr>
      <w:r w:rsidRPr="00DA5515">
        <w:rPr>
          <w:iCs/>
          <w:sz w:val="22"/>
        </w:rPr>
        <w:t>©201</w:t>
      </w:r>
      <w:r w:rsidR="00493710" w:rsidRPr="00DA5515">
        <w:rPr>
          <w:iCs/>
          <w:sz w:val="22"/>
        </w:rPr>
        <w:t>6</w:t>
      </w:r>
      <w:r w:rsidRPr="00DA5515">
        <w:rPr>
          <w:iCs/>
          <w:sz w:val="22"/>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DA5515">
        <w:rPr>
          <w:iCs/>
          <w:sz w:val="22"/>
          <w:vertAlign w:val="superscript"/>
        </w:rPr>
        <w:t>®</w:t>
      </w:r>
      <w:r w:rsidRPr="00DA5515">
        <w:rPr>
          <w:iCs/>
          <w:sz w:val="22"/>
        </w:rPr>
        <w:t xml:space="preserve"> and Centene Corporation</w:t>
      </w:r>
      <w:r w:rsidRPr="00DA5515">
        <w:rPr>
          <w:iCs/>
          <w:sz w:val="22"/>
          <w:vertAlign w:val="superscript"/>
        </w:rPr>
        <w:t>®</w:t>
      </w:r>
      <w:r w:rsidRPr="00DA5515">
        <w:rPr>
          <w:iCs/>
          <w:sz w:val="22"/>
        </w:rPr>
        <w:t xml:space="preserve"> are registered trademarks exclusively owned by Centene Corporation.</w:t>
      </w:r>
    </w:p>
    <w:p w14:paraId="3CC539E4" w14:textId="77777777" w:rsidR="00C75BD4" w:rsidRDefault="00C75BD4" w:rsidP="00DA5515"/>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D0B0C" w14:textId="77777777" w:rsidR="007207BF" w:rsidRDefault="007207BF">
      <w:r>
        <w:separator/>
      </w:r>
    </w:p>
  </w:endnote>
  <w:endnote w:type="continuationSeparator" w:id="0">
    <w:p w14:paraId="405D76AB" w14:textId="77777777" w:rsidR="007207BF" w:rsidRDefault="007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D022" w14:textId="75601151"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DA3CF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A3CFE">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3700" w14:textId="6B051318" w:rsidR="002C6AAB" w:rsidRDefault="002C6AAB" w:rsidP="002C6AAB">
    <w:pPr>
      <w:pStyle w:val="Footer"/>
      <w:jc w:val="center"/>
    </w:pPr>
    <w:r>
      <w:t xml:space="preserve">Page </w:t>
    </w:r>
    <w:r>
      <w:fldChar w:fldCharType="begin"/>
    </w:r>
    <w:r>
      <w:instrText xml:space="preserve"> PAGE   \* MERGEFORMAT </w:instrText>
    </w:r>
    <w:r>
      <w:fldChar w:fldCharType="separate"/>
    </w:r>
    <w:r w:rsidR="00DA3CFE">
      <w:rPr>
        <w:noProof/>
      </w:rPr>
      <w:t>1</w:t>
    </w:r>
    <w:r>
      <w:fldChar w:fldCharType="end"/>
    </w:r>
    <w:r>
      <w:t xml:space="preserve"> of </w:t>
    </w:r>
    <w:r w:rsidR="007207BF">
      <w:rPr>
        <w:noProof/>
      </w:rPr>
      <w:fldChar w:fldCharType="begin"/>
    </w:r>
    <w:r w:rsidR="007207BF">
      <w:rPr>
        <w:noProof/>
      </w:rPr>
      <w:instrText xml:space="preserve"> NUMPAGES   \* MERGEFORMAT </w:instrText>
    </w:r>
    <w:r w:rsidR="007207BF">
      <w:rPr>
        <w:noProof/>
      </w:rPr>
      <w:fldChar w:fldCharType="separate"/>
    </w:r>
    <w:r w:rsidR="00DA3CFE">
      <w:rPr>
        <w:noProof/>
      </w:rPr>
      <w:t>4</w:t>
    </w:r>
    <w:r w:rsidR="007207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AC0A2" w14:textId="77777777" w:rsidR="007207BF" w:rsidRDefault="007207BF">
      <w:r>
        <w:separator/>
      </w:r>
    </w:p>
  </w:footnote>
  <w:footnote w:type="continuationSeparator" w:id="0">
    <w:p w14:paraId="4FCCFAC4" w14:textId="77777777" w:rsidR="007207BF" w:rsidRDefault="0072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04DA"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44BEAB4D" wp14:editId="61BE8715">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200E03C" w14:textId="77777777" w:rsidR="00DD025A" w:rsidRPr="00B777AF" w:rsidRDefault="00CA3539" w:rsidP="00B777AF">
    <w:pPr>
      <w:rPr>
        <w:color w:val="00548C"/>
      </w:rPr>
    </w:pPr>
    <w:r>
      <w:rPr>
        <w:rFonts w:ascii="Times New Roman Bold" w:hAnsi="Times New Roman Bold"/>
        <w:b/>
        <w:bCs/>
        <w:color w:val="00548C"/>
      </w:rPr>
      <w:t>Dental Anesthesia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C6E9" w14:textId="77777777" w:rsidR="009135E0" w:rsidRDefault="00A20F73" w:rsidP="00B777AF">
    <w:pPr>
      <w:pStyle w:val="Header"/>
      <w:jc w:val="right"/>
    </w:pPr>
    <w:r>
      <w:rPr>
        <w:noProof/>
      </w:rPr>
      <w:drawing>
        <wp:inline distT="0" distB="0" distL="0" distR="0" wp14:anchorId="65510FDC" wp14:editId="71DA65F4">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9750D"/>
    <w:multiLevelType w:val="hybridMultilevel"/>
    <w:tmpl w:val="6CF0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31EA6"/>
    <w:multiLevelType w:val="hybridMultilevel"/>
    <w:tmpl w:val="A87C34BC"/>
    <w:lvl w:ilvl="0" w:tplc="65CEF5C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92FD3"/>
    <w:multiLevelType w:val="hybridMultilevel"/>
    <w:tmpl w:val="C6EA94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9"/>
  </w:num>
  <w:num w:numId="4">
    <w:abstractNumId w:val="12"/>
  </w:num>
  <w:num w:numId="5">
    <w:abstractNumId w:val="13"/>
  </w:num>
  <w:num w:numId="6">
    <w:abstractNumId w:val="17"/>
  </w:num>
  <w:num w:numId="7">
    <w:abstractNumId w:val="18"/>
  </w:num>
  <w:num w:numId="8">
    <w:abstractNumId w:val="2"/>
  </w:num>
  <w:num w:numId="9">
    <w:abstractNumId w:val="15"/>
  </w:num>
  <w:num w:numId="10">
    <w:abstractNumId w:val="7"/>
  </w:num>
  <w:num w:numId="11">
    <w:abstractNumId w:val="20"/>
  </w:num>
  <w:num w:numId="12">
    <w:abstractNumId w:val="11"/>
  </w:num>
  <w:num w:numId="13">
    <w:abstractNumId w:val="10"/>
  </w:num>
  <w:num w:numId="14">
    <w:abstractNumId w:val="4"/>
  </w:num>
  <w:num w:numId="15">
    <w:abstractNumId w:val="8"/>
  </w:num>
  <w:num w:numId="16">
    <w:abstractNumId w:val="19"/>
  </w:num>
  <w:num w:numId="17">
    <w:abstractNumId w:val="16"/>
  </w:num>
  <w:num w:numId="18">
    <w:abstractNumId w:val="14"/>
  </w:num>
  <w:num w:numId="19">
    <w:abstractNumId w:val="6"/>
  </w:num>
  <w:num w:numId="20">
    <w:abstractNumId w:val="3"/>
  </w:num>
  <w:num w:numId="21">
    <w:abstractNumId w:val="5"/>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70B71"/>
    <w:rsid w:val="00083740"/>
    <w:rsid w:val="00084C21"/>
    <w:rsid w:val="00094136"/>
    <w:rsid w:val="000E6170"/>
    <w:rsid w:val="000E64F5"/>
    <w:rsid w:val="000F10C2"/>
    <w:rsid w:val="001148A8"/>
    <w:rsid w:val="00131882"/>
    <w:rsid w:val="0014316D"/>
    <w:rsid w:val="001676FE"/>
    <w:rsid w:val="00170B14"/>
    <w:rsid w:val="001818D7"/>
    <w:rsid w:val="00185104"/>
    <w:rsid w:val="00190C03"/>
    <w:rsid w:val="001962BE"/>
    <w:rsid w:val="00196689"/>
    <w:rsid w:val="00196935"/>
    <w:rsid w:val="0019746F"/>
    <w:rsid w:val="001A25F8"/>
    <w:rsid w:val="001D0D34"/>
    <w:rsid w:val="001D70D4"/>
    <w:rsid w:val="001E7D12"/>
    <w:rsid w:val="0020675F"/>
    <w:rsid w:val="00220736"/>
    <w:rsid w:val="00230FE4"/>
    <w:rsid w:val="00233651"/>
    <w:rsid w:val="00254020"/>
    <w:rsid w:val="0025452A"/>
    <w:rsid w:val="00281762"/>
    <w:rsid w:val="0028591C"/>
    <w:rsid w:val="00285997"/>
    <w:rsid w:val="002A39EE"/>
    <w:rsid w:val="002B0582"/>
    <w:rsid w:val="002B1091"/>
    <w:rsid w:val="002B7A01"/>
    <w:rsid w:val="002C6AAB"/>
    <w:rsid w:val="002D019A"/>
    <w:rsid w:val="002E48E7"/>
    <w:rsid w:val="002F4A91"/>
    <w:rsid w:val="00305F72"/>
    <w:rsid w:val="003140D6"/>
    <w:rsid w:val="00336E37"/>
    <w:rsid w:val="00350F22"/>
    <w:rsid w:val="003840CC"/>
    <w:rsid w:val="00396560"/>
    <w:rsid w:val="003D16EA"/>
    <w:rsid w:val="003D7BE7"/>
    <w:rsid w:val="003F3D44"/>
    <w:rsid w:val="00472C6C"/>
    <w:rsid w:val="00480C09"/>
    <w:rsid w:val="00491B90"/>
    <w:rsid w:val="00493710"/>
    <w:rsid w:val="00496BCF"/>
    <w:rsid w:val="00497AED"/>
    <w:rsid w:val="004D021D"/>
    <w:rsid w:val="004E0B99"/>
    <w:rsid w:val="004F6394"/>
    <w:rsid w:val="00505830"/>
    <w:rsid w:val="005103B8"/>
    <w:rsid w:val="005365F5"/>
    <w:rsid w:val="005423D4"/>
    <w:rsid w:val="005537B0"/>
    <w:rsid w:val="00561850"/>
    <w:rsid w:val="005776FD"/>
    <w:rsid w:val="00583376"/>
    <w:rsid w:val="00587320"/>
    <w:rsid w:val="005C17DF"/>
    <w:rsid w:val="005C3607"/>
    <w:rsid w:val="005D009F"/>
    <w:rsid w:val="005D5146"/>
    <w:rsid w:val="005D7B81"/>
    <w:rsid w:val="005E411E"/>
    <w:rsid w:val="006474BB"/>
    <w:rsid w:val="006664E9"/>
    <w:rsid w:val="006705A8"/>
    <w:rsid w:val="006C6F38"/>
    <w:rsid w:val="006C74DF"/>
    <w:rsid w:val="006F4D70"/>
    <w:rsid w:val="00712889"/>
    <w:rsid w:val="007207BF"/>
    <w:rsid w:val="00723D12"/>
    <w:rsid w:val="00744250"/>
    <w:rsid w:val="00766D6D"/>
    <w:rsid w:val="007764CE"/>
    <w:rsid w:val="00780C71"/>
    <w:rsid w:val="007A0BCC"/>
    <w:rsid w:val="007A6486"/>
    <w:rsid w:val="007B07AE"/>
    <w:rsid w:val="007B50D0"/>
    <w:rsid w:val="007D0FE9"/>
    <w:rsid w:val="007D4801"/>
    <w:rsid w:val="007F1F19"/>
    <w:rsid w:val="008253CD"/>
    <w:rsid w:val="00857C10"/>
    <w:rsid w:val="00872D71"/>
    <w:rsid w:val="00875924"/>
    <w:rsid w:val="00877EC7"/>
    <w:rsid w:val="0089620F"/>
    <w:rsid w:val="00896E94"/>
    <w:rsid w:val="008B0705"/>
    <w:rsid w:val="008B1513"/>
    <w:rsid w:val="008C6B3A"/>
    <w:rsid w:val="00902C9B"/>
    <w:rsid w:val="009135E0"/>
    <w:rsid w:val="00915BF4"/>
    <w:rsid w:val="00915CA4"/>
    <w:rsid w:val="0092471F"/>
    <w:rsid w:val="00950820"/>
    <w:rsid w:val="00961071"/>
    <w:rsid w:val="00963062"/>
    <w:rsid w:val="009735FA"/>
    <w:rsid w:val="00977ECA"/>
    <w:rsid w:val="00982180"/>
    <w:rsid w:val="009928B2"/>
    <w:rsid w:val="00993F8A"/>
    <w:rsid w:val="009A305A"/>
    <w:rsid w:val="009C61B2"/>
    <w:rsid w:val="009D08A3"/>
    <w:rsid w:val="009D418F"/>
    <w:rsid w:val="009D5928"/>
    <w:rsid w:val="009E6F29"/>
    <w:rsid w:val="00A20F73"/>
    <w:rsid w:val="00A41969"/>
    <w:rsid w:val="00A427C4"/>
    <w:rsid w:val="00A60413"/>
    <w:rsid w:val="00A83658"/>
    <w:rsid w:val="00A85489"/>
    <w:rsid w:val="00A87B1F"/>
    <w:rsid w:val="00AA336E"/>
    <w:rsid w:val="00AA428E"/>
    <w:rsid w:val="00AD1AA6"/>
    <w:rsid w:val="00AF1F2A"/>
    <w:rsid w:val="00AF30EF"/>
    <w:rsid w:val="00AF5490"/>
    <w:rsid w:val="00B4633B"/>
    <w:rsid w:val="00B4711D"/>
    <w:rsid w:val="00B777AF"/>
    <w:rsid w:val="00B81789"/>
    <w:rsid w:val="00B92DF1"/>
    <w:rsid w:val="00BA17A0"/>
    <w:rsid w:val="00BF4150"/>
    <w:rsid w:val="00C01AA6"/>
    <w:rsid w:val="00C06257"/>
    <w:rsid w:val="00C079B0"/>
    <w:rsid w:val="00C14250"/>
    <w:rsid w:val="00C17CEF"/>
    <w:rsid w:val="00C2297C"/>
    <w:rsid w:val="00C5317B"/>
    <w:rsid w:val="00C64BB4"/>
    <w:rsid w:val="00C73CF5"/>
    <w:rsid w:val="00C75BD4"/>
    <w:rsid w:val="00C96847"/>
    <w:rsid w:val="00CA3539"/>
    <w:rsid w:val="00CA53B9"/>
    <w:rsid w:val="00CA5C08"/>
    <w:rsid w:val="00CF2624"/>
    <w:rsid w:val="00D03FF0"/>
    <w:rsid w:val="00D36448"/>
    <w:rsid w:val="00D408B7"/>
    <w:rsid w:val="00D574CA"/>
    <w:rsid w:val="00D71BC4"/>
    <w:rsid w:val="00DA3CFE"/>
    <w:rsid w:val="00DA5515"/>
    <w:rsid w:val="00DB1DE9"/>
    <w:rsid w:val="00DB7073"/>
    <w:rsid w:val="00DD025A"/>
    <w:rsid w:val="00DD6ADB"/>
    <w:rsid w:val="00DD7D7A"/>
    <w:rsid w:val="00DE18E2"/>
    <w:rsid w:val="00E31989"/>
    <w:rsid w:val="00E34CC4"/>
    <w:rsid w:val="00E97C17"/>
    <w:rsid w:val="00EA3809"/>
    <w:rsid w:val="00ED0A0D"/>
    <w:rsid w:val="00ED6B57"/>
    <w:rsid w:val="00F03DC0"/>
    <w:rsid w:val="00F2705D"/>
    <w:rsid w:val="00F422E1"/>
    <w:rsid w:val="00F561F1"/>
    <w:rsid w:val="00F5723C"/>
    <w:rsid w:val="00F67BBD"/>
    <w:rsid w:val="00F71F8E"/>
    <w:rsid w:val="00F74762"/>
    <w:rsid w:val="00F924EA"/>
    <w:rsid w:val="00F95133"/>
    <w:rsid w:val="00FB0592"/>
    <w:rsid w:val="00FB139B"/>
    <w:rsid w:val="00FC0DD2"/>
    <w:rsid w:val="00FC0EC9"/>
    <w:rsid w:val="00FC2232"/>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E81C8C"/>
  <w15:docId w15:val="{827EE6EC-D8BE-48CE-B517-92F0AB56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E3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pediatrics.aappublications.org/content/early/2016/06/24/peds.2016-12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apd.org/resources/parent/brochur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4C59-ACEB-419B-89BD-1FA5F9851911}">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341CEF-6036-4B33-8312-36C8ADA03622}">
  <ds:schemaRefs>
    <ds:schemaRef ds:uri="http://schemas.microsoft.com/sharepoint/v3/contenttype/forms"/>
  </ds:schemaRefs>
</ds:datastoreItem>
</file>

<file path=customXml/itemProps3.xml><?xml version="1.0" encoding="utf-8"?>
<ds:datastoreItem xmlns:ds="http://schemas.openxmlformats.org/officeDocument/2006/customXml" ds:itemID="{CE3663FE-C1EF-41A1-B7DD-827235932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2E2352-588E-4612-9A39-D962881D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10371</Characters>
  <Application>Microsoft Office Word</Application>
  <DocSecurity>2</DocSecurity>
  <Lines>86</Lines>
  <Paragraphs>23</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2015-06-25T20:16:00Z</cp:lastPrinted>
  <dcterms:created xsi:type="dcterms:W3CDTF">2019-04-24T17:03:00Z</dcterms:created>
  <dcterms:modified xsi:type="dcterms:W3CDTF">2019-04-24T17:03:00Z</dcterms:modified>
</cp:coreProperties>
</file>