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C2D" w:rsidRPr="00B777AF" w:rsidRDefault="00004C2D" w:rsidP="00D574CA">
      <w:pPr>
        <w:pStyle w:val="PolicyMainHead"/>
        <w:tabs>
          <w:tab w:val="left" w:pos="360"/>
        </w:tabs>
        <w:spacing w:after="0" w:line="240" w:lineRule="auto"/>
        <w:rPr>
          <w:rFonts w:ascii="Times New Roman" w:hAnsi="Times New Roman"/>
          <w:color w:val="00548C"/>
          <w:sz w:val="36"/>
        </w:rPr>
      </w:pPr>
      <w:bookmarkStart w:id="0" w:name="_GoBack"/>
      <w:bookmarkEnd w:id="0"/>
      <w:r>
        <w:rPr>
          <w:rFonts w:ascii="Times New Roman" w:hAnsi="Times New Roman"/>
          <w:color w:val="00548C"/>
          <w:sz w:val="36"/>
        </w:rPr>
        <w:t>Clinic</w:t>
      </w:r>
      <w:r w:rsidRPr="005D7B81">
        <w:rPr>
          <w:rFonts w:ascii="Times New Roman" w:hAnsi="Times New Roman"/>
          <w:color w:val="00548C"/>
          <w:sz w:val="36"/>
        </w:rPr>
        <w:t xml:space="preserve">al </w:t>
      </w:r>
      <w:r>
        <w:rPr>
          <w:rFonts w:ascii="Times New Roman" w:hAnsi="Times New Roman"/>
          <w:color w:val="00548C"/>
          <w:sz w:val="36"/>
        </w:rPr>
        <w:t>Policy: Lysis of Epidural Lesions</w:t>
      </w:r>
    </w:p>
    <w:p w:rsidR="00004C2D" w:rsidRDefault="00004C2D" w:rsidP="00D574CA">
      <w:pPr>
        <w:pStyle w:val="PolicyMainHead"/>
        <w:tabs>
          <w:tab w:val="left" w:pos="360"/>
        </w:tabs>
        <w:spacing w:after="0" w:line="240" w:lineRule="auto"/>
        <w:rPr>
          <w:color w:val="00548C"/>
          <w:sz w:val="24"/>
        </w:rPr>
        <w:sectPr w:rsidR="00004C2D" w:rsidSect="00B81DB7">
          <w:headerReference w:type="default" r:id="rId10"/>
          <w:footerReference w:type="default" r:id="rId11"/>
          <w:headerReference w:type="first" r:id="rId12"/>
          <w:footerReference w:type="first" r:id="rId13"/>
          <w:pgSz w:w="12240" w:h="15840" w:code="1"/>
          <w:pgMar w:top="1170" w:right="907" w:bottom="1152" w:left="1440" w:header="576" w:footer="288" w:gutter="0"/>
          <w:cols w:space="720"/>
          <w:titlePg/>
          <w:docGrid w:linePitch="360"/>
        </w:sectPr>
      </w:pPr>
    </w:p>
    <w:p w:rsidR="00004C2D" w:rsidRPr="003D7BE7" w:rsidRDefault="00004C2D" w:rsidP="00942A94">
      <w:pPr>
        <w:pStyle w:val="PolicyMainHead"/>
        <w:tabs>
          <w:tab w:val="left" w:pos="360"/>
        </w:tabs>
        <w:spacing w:after="0" w:line="240" w:lineRule="auto"/>
        <w:rPr>
          <w:rFonts w:ascii="Times New Roman" w:hAnsi="Times New Roman"/>
          <w:color w:val="00548C"/>
          <w:sz w:val="24"/>
          <w:szCs w:val="24"/>
        </w:rPr>
        <w:sectPr w:rsidR="00004C2D"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Reference Number: CP.</w:t>
      </w:r>
      <w:r>
        <w:rPr>
          <w:rFonts w:ascii="Times New Roman" w:hAnsi="Times New Roman"/>
          <w:color w:val="00548C"/>
          <w:sz w:val="24"/>
          <w:szCs w:val="24"/>
        </w:rPr>
        <w:t>MP.116</w:t>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00325099">
        <w:rPr>
          <w:rFonts w:ascii="Times New Roman" w:hAnsi="Times New Roman"/>
          <w:color w:val="00548C"/>
          <w:sz w:val="24"/>
          <w:szCs w:val="24"/>
        </w:rPr>
        <w:t xml:space="preserve">     </w:t>
      </w:r>
      <w:hyperlink w:anchor="Coding_Implications" w:history="1">
        <w:r w:rsidRPr="00875924">
          <w:rPr>
            <w:rStyle w:val="Hyperlink"/>
            <w:rFonts w:ascii="Times New Roman" w:hAnsi="Times New Roman"/>
            <w:sz w:val="24"/>
            <w:szCs w:val="24"/>
          </w:rPr>
          <w:t>Coding Implications</w:t>
        </w:r>
      </w:hyperlink>
      <w:r w:rsidRPr="003D7BE7">
        <w:rPr>
          <w:rFonts w:ascii="Times New Roman" w:hAnsi="Times New Roman"/>
          <w:color w:val="00548C"/>
          <w:sz w:val="24"/>
          <w:szCs w:val="24"/>
        </w:rPr>
        <w:t xml:space="preserve"> </w:t>
      </w:r>
    </w:p>
    <w:p w:rsidR="00004C2D" w:rsidRDefault="00004C2D" w:rsidP="00D574CA">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Pr>
          <w:rFonts w:ascii="Times New Roman" w:hAnsi="Times New Roman"/>
          <w:color w:val="00548C"/>
          <w:sz w:val="24"/>
          <w:szCs w:val="24"/>
        </w:rPr>
        <w:t>0</w:t>
      </w:r>
      <w:r w:rsidR="00B62BE1">
        <w:rPr>
          <w:rFonts w:ascii="Times New Roman" w:hAnsi="Times New Roman"/>
          <w:color w:val="00548C"/>
          <w:sz w:val="24"/>
          <w:szCs w:val="24"/>
        </w:rPr>
        <w:t>5</w:t>
      </w:r>
      <w:r>
        <w:rPr>
          <w:rFonts w:ascii="Times New Roman" w:hAnsi="Times New Roman"/>
          <w:color w:val="00548C"/>
          <w:sz w:val="24"/>
          <w:szCs w:val="24"/>
        </w:rPr>
        <w:t>/1</w:t>
      </w:r>
      <w:r w:rsidR="00165E50">
        <w:rPr>
          <w:rFonts w:ascii="Times New Roman" w:hAnsi="Times New Roman"/>
          <w:color w:val="00548C"/>
          <w:sz w:val="24"/>
          <w:szCs w:val="24"/>
        </w:rPr>
        <w:t>9</w:t>
      </w:r>
    </w:p>
    <w:p w:rsidR="00004C2D" w:rsidRDefault="00487926" w:rsidP="00875924">
      <w:pPr>
        <w:pStyle w:val="PolicyMainHead"/>
        <w:tabs>
          <w:tab w:val="left" w:pos="360"/>
        </w:tabs>
        <w:spacing w:after="0" w:line="240" w:lineRule="auto"/>
        <w:jc w:val="right"/>
        <w:rPr>
          <w:rStyle w:val="Strong"/>
          <w:rFonts w:ascii="Times New Roman" w:hAnsi="Times New Roman"/>
          <w:b w:val="0"/>
          <w:u w:val="single"/>
        </w:rPr>
        <w:sectPr w:rsidR="00004C2D" w:rsidSect="00875924">
          <w:type w:val="continuous"/>
          <w:pgSz w:w="12240" w:h="15840" w:code="1"/>
          <w:pgMar w:top="1440" w:right="1170" w:bottom="1440" w:left="1440" w:header="576" w:footer="288" w:gutter="0"/>
          <w:cols w:num="2" w:space="720"/>
          <w:titlePg/>
          <w:docGrid w:linePitch="360"/>
        </w:sectPr>
      </w:pPr>
      <w:hyperlink w:anchor="Revision_Log" w:history="1">
        <w:r w:rsidR="00004C2D" w:rsidRPr="003D7BE7">
          <w:rPr>
            <w:rStyle w:val="Hyperlink"/>
            <w:rFonts w:ascii="Times New Roman" w:hAnsi="Times New Roman"/>
            <w:sz w:val="24"/>
            <w:szCs w:val="24"/>
          </w:rPr>
          <w:t>Revision Log</w:t>
        </w:r>
      </w:hyperlink>
      <w:r w:rsidR="00004C2D">
        <w:rPr>
          <w:rFonts w:ascii="Times New Roman" w:hAnsi="Times New Roman"/>
          <w:color w:val="00548C"/>
          <w:sz w:val="24"/>
          <w:szCs w:val="24"/>
        </w:rPr>
        <w:t xml:space="preserve"> </w:t>
      </w:r>
    </w:p>
    <w:p w:rsidR="00004C2D" w:rsidRDefault="00004C2D"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rsidR="00004C2D" w:rsidRPr="005D7B81" w:rsidRDefault="00004C2D"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rsidR="00004C2D" w:rsidRDefault="00004C2D" w:rsidP="00875924">
      <w:pPr>
        <w:pStyle w:val="NormalWeb"/>
        <w:spacing w:before="0" w:beforeAutospacing="0" w:after="0" w:afterAutospacing="0"/>
        <w:jc w:val="center"/>
        <w:rPr>
          <w:rStyle w:val="Strong"/>
          <w:rFonts w:ascii="Times New Roman" w:hAnsi="Times New Roman"/>
          <w:b w:val="0"/>
          <w:u w:val="single"/>
        </w:rPr>
      </w:pPr>
    </w:p>
    <w:p w:rsidR="00004C2D" w:rsidRPr="00B777AF" w:rsidRDefault="00004C2D">
      <w:pPr>
        <w:pStyle w:val="Heading2"/>
        <w:rPr>
          <w:u w:val="none"/>
        </w:rPr>
      </w:pPr>
      <w:r w:rsidRPr="00B777AF">
        <w:rPr>
          <w:u w:val="none"/>
        </w:rPr>
        <w:t xml:space="preserve">Description </w:t>
      </w:r>
    </w:p>
    <w:p w:rsidR="00004C2D" w:rsidRPr="006A7845" w:rsidRDefault="00004C2D" w:rsidP="00196935">
      <w:r w:rsidRPr="006A7845">
        <w:t xml:space="preserve">Epidural </w:t>
      </w:r>
      <w:proofErr w:type="spellStart"/>
      <w:r w:rsidRPr="006A7845">
        <w:t>adhesiolysis</w:t>
      </w:r>
      <w:proofErr w:type="spellEnd"/>
      <w:r w:rsidRPr="006A7845">
        <w:t xml:space="preserve">, also known as epidural </w:t>
      </w:r>
      <w:proofErr w:type="spellStart"/>
      <w:r w:rsidRPr="006A7845">
        <w:t>neuroplasty</w:t>
      </w:r>
      <w:proofErr w:type="spellEnd"/>
      <w:r w:rsidRPr="006A7845">
        <w:t>, lysis of epidural ad</w:t>
      </w:r>
      <w:r>
        <w:t xml:space="preserve">hesions, or caudal </w:t>
      </w:r>
      <w:proofErr w:type="spellStart"/>
      <w:r>
        <w:t>neuroplasty</w:t>
      </w:r>
      <w:proofErr w:type="spellEnd"/>
      <w:r>
        <w:t>,</w:t>
      </w:r>
      <w:r w:rsidRPr="006A7845">
        <w:t xml:space="preserve"> is a minimally invasive surgery for patients with chronic back pain associated with epidural fibrosis or adhesions. Adhesions are commonly caused by scarring after spinal interventions, and are associated with post</w:t>
      </w:r>
      <w:r>
        <w:t>-</w:t>
      </w:r>
      <w:r w:rsidRPr="006A7845">
        <w:t>laminectomy syndrome or failed back surgery syndrome. Adhesions may also be caused by normal aging of the spine and spinal disorders such as lumbar disc herniation and spinal stenosis.</w:t>
      </w:r>
    </w:p>
    <w:p w:rsidR="00004C2D" w:rsidRPr="00B777AF" w:rsidRDefault="00004C2D" w:rsidP="00196935"/>
    <w:p w:rsidR="00004C2D" w:rsidRPr="00B777AF" w:rsidRDefault="00004C2D">
      <w:pPr>
        <w:pStyle w:val="Heading2"/>
        <w:rPr>
          <w:u w:val="none"/>
        </w:rPr>
      </w:pPr>
      <w:r w:rsidRPr="00B777AF">
        <w:rPr>
          <w:u w:val="none"/>
        </w:rPr>
        <w:t>Policy/Criteria</w:t>
      </w:r>
    </w:p>
    <w:p w:rsidR="00004C2D" w:rsidRPr="00E2679C" w:rsidRDefault="00004C2D" w:rsidP="00D173FE">
      <w:pPr>
        <w:pStyle w:val="ListParagraph"/>
        <w:numPr>
          <w:ilvl w:val="0"/>
          <w:numId w:val="22"/>
        </w:numPr>
        <w:ind w:left="360" w:hanging="360"/>
        <w:rPr>
          <w:bCs/>
          <w:color w:val="000000"/>
        </w:rPr>
      </w:pPr>
      <w:r w:rsidRPr="00E2679C">
        <w:rPr>
          <w:bCs/>
          <w:color w:val="000000"/>
        </w:rPr>
        <w:t>It is the policy of health plans affiliated with Centene Corporation</w:t>
      </w:r>
      <w:r w:rsidRPr="00E2679C">
        <w:rPr>
          <w:bCs/>
          <w:color w:val="000000"/>
          <w:vertAlign w:val="superscript"/>
        </w:rPr>
        <w:t>®</w:t>
      </w:r>
      <w:r w:rsidRPr="00E2679C">
        <w:rPr>
          <w:bCs/>
          <w:color w:val="000000"/>
        </w:rPr>
        <w:t xml:space="preserve"> </w:t>
      </w:r>
      <w:r>
        <w:t xml:space="preserve">that </w:t>
      </w:r>
      <w:r w:rsidRPr="00D522A6">
        <w:t xml:space="preserve">lysis of epidural lesions, </w:t>
      </w:r>
      <w:r w:rsidRPr="00153CBB">
        <w:t xml:space="preserve">including percutaneous epidural </w:t>
      </w:r>
      <w:proofErr w:type="spellStart"/>
      <w:r w:rsidRPr="00153CBB">
        <w:t>adhesiolysis</w:t>
      </w:r>
      <w:proofErr w:type="spellEnd"/>
      <w:r w:rsidRPr="00153CBB">
        <w:t xml:space="preserve"> and endoscopic epidural </w:t>
      </w:r>
      <w:proofErr w:type="spellStart"/>
      <w:r w:rsidRPr="00153CBB">
        <w:t>adhesiolysis</w:t>
      </w:r>
      <w:proofErr w:type="spellEnd"/>
      <w:r>
        <w:t xml:space="preserve">, with or without use of an indwelling epidural </w:t>
      </w:r>
      <w:proofErr w:type="spellStart"/>
      <w:r>
        <w:t>Racz</w:t>
      </w:r>
      <w:proofErr w:type="spellEnd"/>
      <w:r>
        <w:t xml:space="preserve"> catheter, is considered </w:t>
      </w:r>
      <w:r w:rsidRPr="00E2679C">
        <w:rPr>
          <w:b/>
        </w:rPr>
        <w:t>investigational</w:t>
      </w:r>
      <w:r>
        <w:rPr>
          <w:b/>
        </w:rPr>
        <w:t>.</w:t>
      </w:r>
      <w:r>
        <w:t xml:space="preserve">  This treatment continues to be evaluated in clinical studies, however current medical literature does not support its efficacy.</w:t>
      </w:r>
    </w:p>
    <w:p w:rsidR="00004C2D" w:rsidRDefault="00004C2D" w:rsidP="003840CC">
      <w:pPr>
        <w:rPr>
          <w:bCs/>
          <w:color w:val="000000"/>
        </w:rPr>
      </w:pPr>
    </w:p>
    <w:p w:rsidR="00004C2D" w:rsidRDefault="00004C2D" w:rsidP="00FB0592">
      <w:pPr>
        <w:pStyle w:val="Heading2"/>
        <w:rPr>
          <w:u w:val="none"/>
        </w:rPr>
      </w:pPr>
      <w:r w:rsidRPr="00B777AF">
        <w:rPr>
          <w:u w:val="none"/>
        </w:rPr>
        <w:t>Background</w:t>
      </w:r>
    </w:p>
    <w:p w:rsidR="00004C2D" w:rsidRPr="00DF2DA8" w:rsidRDefault="00004C2D" w:rsidP="00DF2DA8">
      <w:pPr>
        <w:pStyle w:val="Default"/>
        <w:rPr>
          <w:rFonts w:ascii="Times New Roman" w:hAnsi="Times New Roman" w:cs="Times New Roman"/>
        </w:rPr>
      </w:pPr>
      <w:r w:rsidRPr="00DF2DA8">
        <w:rPr>
          <w:rFonts w:ascii="Times New Roman" w:hAnsi="Times New Roman" w:cs="Times New Roman"/>
        </w:rPr>
        <w:t xml:space="preserve">Percutaneous lysis of epidural adhesions with epidural injections of hypertonic saline, in conjunction with steroids and analgesics or hyaluronidase, is an interventional pain </w:t>
      </w:r>
      <w:r w:rsidRPr="00DF2DA8">
        <w:rPr>
          <w:rFonts w:ascii="Times New Roman" w:hAnsi="Times New Roman" w:cs="Times New Roman"/>
          <w:color w:val="auto"/>
        </w:rPr>
        <w:t xml:space="preserve">management technique that has been investigated as a treatment option in managing chronic intractable low back pain caused by extensive </w:t>
      </w:r>
      <w:proofErr w:type="spellStart"/>
      <w:r w:rsidRPr="00DF2DA8">
        <w:rPr>
          <w:rFonts w:ascii="Times New Roman" w:hAnsi="Times New Roman" w:cs="Times New Roman"/>
          <w:color w:val="auto"/>
        </w:rPr>
        <w:t>peridural</w:t>
      </w:r>
      <w:proofErr w:type="spellEnd"/>
      <w:r w:rsidRPr="00DF2DA8">
        <w:rPr>
          <w:rFonts w:ascii="Times New Roman" w:hAnsi="Times New Roman" w:cs="Times New Roman"/>
          <w:color w:val="auto"/>
        </w:rPr>
        <w:t xml:space="preserve"> scarring. In theory, the use of hypertonic saline results in a mechanical disruption of the adhesions. Adhesions may also be disrupted by the manipulation of the catheter at the time of the injection. The hypertonic saline may also function to reduce edema within previously scarred and/or inflamed nerves. Hyaluronidase may be </w:t>
      </w:r>
      <w:r w:rsidRPr="00DF2DA8">
        <w:rPr>
          <w:rFonts w:ascii="Times New Roman" w:hAnsi="Times New Roman" w:cs="Times New Roman"/>
        </w:rPr>
        <w:t xml:space="preserve">added to the </w:t>
      </w:r>
      <w:proofErr w:type="spellStart"/>
      <w:r w:rsidRPr="00DF2DA8">
        <w:rPr>
          <w:rFonts w:ascii="Times New Roman" w:hAnsi="Times New Roman" w:cs="Times New Roman"/>
        </w:rPr>
        <w:t>injectate</w:t>
      </w:r>
      <w:proofErr w:type="spellEnd"/>
      <w:r w:rsidRPr="00DF2DA8">
        <w:rPr>
          <w:rFonts w:ascii="Times New Roman" w:hAnsi="Times New Roman" w:cs="Times New Roman"/>
        </w:rPr>
        <w:t xml:space="preserve"> to further the penetration of the drugs into the scar tissue.</w:t>
      </w:r>
    </w:p>
    <w:p w:rsidR="00004C2D" w:rsidRPr="00DF2DA8" w:rsidRDefault="00004C2D" w:rsidP="00DF2DA8">
      <w:pPr>
        <w:pStyle w:val="Default"/>
        <w:rPr>
          <w:rFonts w:ascii="Times New Roman" w:hAnsi="Times New Roman" w:cs="Times New Roman"/>
        </w:rPr>
      </w:pPr>
    </w:p>
    <w:p w:rsidR="00004C2D" w:rsidRPr="00DF2DA8" w:rsidRDefault="00004C2D" w:rsidP="00DF2DA8">
      <w:pPr>
        <w:pStyle w:val="Default"/>
        <w:rPr>
          <w:rFonts w:ascii="Times New Roman" w:hAnsi="Times New Roman" w:cs="Times New Roman"/>
        </w:rPr>
      </w:pPr>
      <w:r w:rsidRPr="00DF2DA8">
        <w:rPr>
          <w:rFonts w:ascii="Times New Roman" w:hAnsi="Times New Roman" w:cs="Times New Roman"/>
        </w:rPr>
        <w:t xml:space="preserve">Spinal endoscopy has been used to guide the lysis of adhesions. Prior to use of endoscopy, adhesions can be identified as non-filling lesions on fluoroscopy. Using endoscopy guidance, a flexible </w:t>
      </w:r>
      <w:proofErr w:type="spellStart"/>
      <w:r w:rsidRPr="00DF2DA8">
        <w:rPr>
          <w:rFonts w:ascii="Times New Roman" w:hAnsi="Times New Roman" w:cs="Times New Roman"/>
        </w:rPr>
        <w:t>fiberoptic</w:t>
      </w:r>
      <w:proofErr w:type="spellEnd"/>
      <w:r w:rsidRPr="00DF2DA8">
        <w:rPr>
          <w:rFonts w:ascii="Times New Roman" w:hAnsi="Times New Roman" w:cs="Times New Roman"/>
        </w:rPr>
        <w:t xml:space="preserve"> catheter is inserted into the sacral hiatus, providing 3-D visualization to steer the catheter toward the adhesions, to more precisely place the </w:t>
      </w:r>
      <w:proofErr w:type="spellStart"/>
      <w:r w:rsidRPr="00DF2DA8">
        <w:rPr>
          <w:rFonts w:ascii="Times New Roman" w:hAnsi="Times New Roman" w:cs="Times New Roman"/>
        </w:rPr>
        <w:t>injectate</w:t>
      </w:r>
      <w:proofErr w:type="spellEnd"/>
      <w:r w:rsidRPr="00DF2DA8">
        <w:rPr>
          <w:rFonts w:ascii="Times New Roman" w:hAnsi="Times New Roman" w:cs="Times New Roman"/>
        </w:rPr>
        <w:t xml:space="preserve"> in the epidural space and onto the nerve root. Various protocols for lysis have been described; in some situations the catheter may remain in place for several days for serial treatment sessions.</w:t>
      </w:r>
    </w:p>
    <w:p w:rsidR="00004C2D" w:rsidRDefault="00004C2D">
      <w:pPr>
        <w:rPr>
          <w:b/>
          <w:bCs/>
        </w:rPr>
      </w:pPr>
    </w:p>
    <w:p w:rsidR="00004C2D" w:rsidRPr="006E52C7" w:rsidRDefault="00004C2D">
      <w:pPr>
        <w:rPr>
          <w:bCs/>
          <w:i/>
        </w:rPr>
      </w:pPr>
      <w:r w:rsidRPr="006E52C7">
        <w:rPr>
          <w:bCs/>
          <w:i/>
        </w:rPr>
        <w:t xml:space="preserve">Evidence for percutaneous </w:t>
      </w:r>
      <w:proofErr w:type="spellStart"/>
      <w:r w:rsidRPr="006E52C7">
        <w:rPr>
          <w:bCs/>
          <w:i/>
        </w:rPr>
        <w:t>adhesiolysis</w:t>
      </w:r>
      <w:proofErr w:type="spellEnd"/>
    </w:p>
    <w:p w:rsidR="00004C2D" w:rsidRDefault="00004C2D">
      <w:pPr>
        <w:rPr>
          <w:bCs/>
          <w:vertAlign w:val="superscript"/>
        </w:rPr>
      </w:pPr>
      <w:r>
        <w:rPr>
          <w:bCs/>
        </w:rPr>
        <w:t xml:space="preserve">Controlled trials have found short-term positive effects of percutaneous epidural </w:t>
      </w:r>
      <w:proofErr w:type="spellStart"/>
      <w:r>
        <w:rPr>
          <w:bCs/>
        </w:rPr>
        <w:t>adhesiolysis</w:t>
      </w:r>
      <w:proofErr w:type="spellEnd"/>
      <w:r>
        <w:rPr>
          <w:bCs/>
        </w:rPr>
        <w:t xml:space="preserve"> in </w:t>
      </w:r>
      <w:proofErr w:type="gramStart"/>
      <w:r>
        <w:rPr>
          <w:bCs/>
        </w:rPr>
        <w:t>patients</w:t>
      </w:r>
      <w:proofErr w:type="gramEnd"/>
      <w:r>
        <w:rPr>
          <w:bCs/>
        </w:rPr>
        <w:t xml:space="preserve"> with chronic, refractory back pain and lower extremity pain.</w:t>
      </w:r>
      <w:r>
        <w:rPr>
          <w:bCs/>
          <w:vertAlign w:val="superscript"/>
        </w:rPr>
        <w:t xml:space="preserve">1-5 </w:t>
      </w:r>
      <w:r>
        <w:rPr>
          <w:bCs/>
        </w:rPr>
        <w:t>However, these studies are limited by methodological limitations including somewhat high attrition rates, insufficient blinding and inadequate statistical power to establish safety. Furthermore, many of the studies were conducted at the same interventional pain management center, which could limit the representativeness of the results obtained by the researchers.</w:t>
      </w:r>
      <w:r>
        <w:rPr>
          <w:bCs/>
          <w:vertAlign w:val="superscript"/>
        </w:rPr>
        <w:t>1</w:t>
      </w:r>
    </w:p>
    <w:p w:rsidR="00004C2D" w:rsidRDefault="00004C2D">
      <w:pPr>
        <w:rPr>
          <w:bCs/>
          <w:vertAlign w:val="superscript"/>
        </w:rPr>
      </w:pPr>
    </w:p>
    <w:p w:rsidR="00004C2D" w:rsidRPr="006E52C7" w:rsidRDefault="00004C2D">
      <w:pPr>
        <w:rPr>
          <w:bCs/>
          <w:i/>
        </w:rPr>
      </w:pPr>
      <w:r w:rsidRPr="006E52C7">
        <w:rPr>
          <w:bCs/>
          <w:i/>
        </w:rPr>
        <w:t xml:space="preserve">Evidence for endoscopic </w:t>
      </w:r>
      <w:proofErr w:type="spellStart"/>
      <w:r w:rsidRPr="006E52C7">
        <w:rPr>
          <w:bCs/>
          <w:i/>
        </w:rPr>
        <w:t>adhesiolysis</w:t>
      </w:r>
      <w:proofErr w:type="spellEnd"/>
    </w:p>
    <w:p w:rsidR="00004C2D" w:rsidRPr="00456D0C" w:rsidRDefault="00004C2D">
      <w:pPr>
        <w:rPr>
          <w:bCs/>
          <w:vertAlign w:val="superscript"/>
        </w:rPr>
      </w:pPr>
      <w:r w:rsidRPr="00FF7169">
        <w:rPr>
          <w:bCs/>
        </w:rPr>
        <w:lastRenderedPageBreak/>
        <w:t xml:space="preserve">Research conducted on endoscopic epidural </w:t>
      </w:r>
      <w:proofErr w:type="spellStart"/>
      <w:r w:rsidRPr="00FF7169">
        <w:rPr>
          <w:bCs/>
        </w:rPr>
        <w:t>adhesiolysis</w:t>
      </w:r>
      <w:proofErr w:type="spellEnd"/>
      <w:r w:rsidRPr="00FF7169">
        <w:rPr>
          <w:bCs/>
        </w:rPr>
        <w:t xml:space="preserve"> is generally positive, with </w:t>
      </w:r>
      <w:r>
        <w:rPr>
          <w:bCs/>
        </w:rPr>
        <w:t xml:space="preserve">significant improvements in pain with endoscopic </w:t>
      </w:r>
      <w:proofErr w:type="spellStart"/>
      <w:r>
        <w:rPr>
          <w:bCs/>
        </w:rPr>
        <w:t>adhesiolysis</w:t>
      </w:r>
      <w:proofErr w:type="spellEnd"/>
      <w:r>
        <w:rPr>
          <w:bCs/>
        </w:rPr>
        <w:t xml:space="preserve"> compared to control groups.</w:t>
      </w:r>
      <w:r>
        <w:rPr>
          <w:bCs/>
          <w:vertAlign w:val="superscript"/>
        </w:rPr>
        <w:t>6-9</w:t>
      </w:r>
      <w:r>
        <w:rPr>
          <w:bCs/>
        </w:rPr>
        <w:t xml:space="preserve"> The studies conducted thus far have been largely observational, however.</w:t>
      </w:r>
      <w:r w:rsidRPr="00EA6186">
        <w:rPr>
          <w:bCs/>
          <w:vertAlign w:val="superscript"/>
        </w:rPr>
        <w:t>6-9</w:t>
      </w:r>
      <w:r>
        <w:rPr>
          <w:bCs/>
          <w:vertAlign w:val="superscript"/>
        </w:rPr>
        <w:t xml:space="preserve"> </w:t>
      </w:r>
      <w:r>
        <w:rPr>
          <w:bCs/>
        </w:rPr>
        <w:t xml:space="preserve">In a 2012 randomized controlled trial (RCT) conducted by </w:t>
      </w:r>
      <w:proofErr w:type="spellStart"/>
      <w:r>
        <w:rPr>
          <w:bCs/>
        </w:rPr>
        <w:t>Manchikanti</w:t>
      </w:r>
      <w:proofErr w:type="spellEnd"/>
      <w:r>
        <w:rPr>
          <w:bCs/>
        </w:rPr>
        <w:t xml:space="preserve"> et al., endoscopic </w:t>
      </w:r>
      <w:proofErr w:type="spellStart"/>
      <w:r>
        <w:rPr>
          <w:bCs/>
        </w:rPr>
        <w:t>adhesiolysis</w:t>
      </w:r>
      <w:proofErr w:type="spellEnd"/>
      <w:r>
        <w:rPr>
          <w:bCs/>
        </w:rPr>
        <w:t xml:space="preserve"> was found to significantly improve pain at three, six, and 12 months in patients who had failed conservative treatment for low back pain, compared to endoscopy alone.</w:t>
      </w:r>
      <w:r>
        <w:rPr>
          <w:bCs/>
          <w:vertAlign w:val="superscript"/>
        </w:rPr>
        <w:t>10</w:t>
      </w:r>
      <w:r>
        <w:rPr>
          <w:bCs/>
        </w:rPr>
        <w:t xml:space="preserve"> A systematic review of endoscopic </w:t>
      </w:r>
      <w:proofErr w:type="spellStart"/>
      <w:r>
        <w:rPr>
          <w:bCs/>
        </w:rPr>
        <w:t>adhesiolysis</w:t>
      </w:r>
      <w:proofErr w:type="spellEnd"/>
      <w:r>
        <w:rPr>
          <w:bCs/>
        </w:rPr>
        <w:t xml:space="preserve"> was conducted by Helm et al. and included three observational studies and one RCT.</w:t>
      </w:r>
      <w:r>
        <w:rPr>
          <w:bCs/>
          <w:vertAlign w:val="superscript"/>
        </w:rPr>
        <w:t xml:space="preserve">11 </w:t>
      </w:r>
      <w:r>
        <w:rPr>
          <w:bCs/>
        </w:rPr>
        <w:t>The systematic review concluded that there is fair quality evidence of positive effects, citing paucity of literature as a limitation.</w:t>
      </w:r>
      <w:r>
        <w:rPr>
          <w:bCs/>
          <w:vertAlign w:val="superscript"/>
        </w:rPr>
        <w:t>11</w:t>
      </w:r>
    </w:p>
    <w:p w:rsidR="00004C2D" w:rsidRDefault="00004C2D">
      <w:pPr>
        <w:rPr>
          <w:bCs/>
        </w:rPr>
      </w:pPr>
    </w:p>
    <w:p w:rsidR="00004C2D" w:rsidRPr="00283672" w:rsidRDefault="00004C2D">
      <w:pPr>
        <w:rPr>
          <w:bCs/>
          <w:i/>
        </w:rPr>
      </w:pPr>
      <w:r w:rsidRPr="00283672">
        <w:rPr>
          <w:bCs/>
          <w:i/>
        </w:rPr>
        <w:t>Guideline Recommendations</w:t>
      </w:r>
    </w:p>
    <w:p w:rsidR="00004C2D" w:rsidRPr="004E306E" w:rsidRDefault="00004C2D">
      <w:pPr>
        <w:rPr>
          <w:bCs/>
          <w:vertAlign w:val="superscript"/>
        </w:rPr>
      </w:pPr>
      <w:r>
        <w:rPr>
          <w:bCs/>
        </w:rPr>
        <w:t xml:space="preserve">A 2013 Guideline Update by the American Society of Interventional Pain Physicians rates the quality of evidence for lumbar percutaneous </w:t>
      </w:r>
      <w:proofErr w:type="spellStart"/>
      <w:r>
        <w:rPr>
          <w:bCs/>
        </w:rPr>
        <w:t>adhesiolysis</w:t>
      </w:r>
      <w:proofErr w:type="spellEnd"/>
      <w:r>
        <w:rPr>
          <w:bCs/>
        </w:rPr>
        <w:t xml:space="preserve"> as fair for managing chronic low back and lower extremity pain due to post surgery syndrome and spinal stenosis.</w:t>
      </w:r>
      <w:r>
        <w:rPr>
          <w:bCs/>
          <w:vertAlign w:val="superscript"/>
        </w:rPr>
        <w:t>12</w:t>
      </w:r>
      <w:r>
        <w:rPr>
          <w:bCs/>
        </w:rPr>
        <w:t xml:space="preserve"> </w:t>
      </w:r>
      <w:proofErr w:type="gramStart"/>
      <w:r>
        <w:rPr>
          <w:bCs/>
        </w:rPr>
        <w:t>This</w:t>
      </w:r>
      <w:proofErr w:type="gramEnd"/>
      <w:r>
        <w:rPr>
          <w:bCs/>
        </w:rPr>
        <w:t xml:space="preserve"> is due largely to limited number of high quality RCTs assessing the intervention. The guideline update does not address endoscopic </w:t>
      </w:r>
      <w:proofErr w:type="spellStart"/>
      <w:r>
        <w:rPr>
          <w:bCs/>
        </w:rPr>
        <w:t>adhesiolysis</w:t>
      </w:r>
      <w:proofErr w:type="spellEnd"/>
      <w:r>
        <w:rPr>
          <w:bCs/>
        </w:rPr>
        <w:t xml:space="preserve"> due to limited evidence.</w:t>
      </w:r>
      <w:r>
        <w:rPr>
          <w:bCs/>
          <w:vertAlign w:val="superscript"/>
        </w:rPr>
        <w:t xml:space="preserve">12 </w:t>
      </w:r>
      <w:proofErr w:type="gramStart"/>
      <w:r>
        <w:rPr>
          <w:bCs/>
        </w:rPr>
        <w:t>Additionally</w:t>
      </w:r>
      <w:proofErr w:type="gramEnd"/>
      <w:r>
        <w:rPr>
          <w:bCs/>
        </w:rPr>
        <w:t>, t</w:t>
      </w:r>
      <w:r w:rsidRPr="004E306E">
        <w:rPr>
          <w:bCs/>
        </w:rPr>
        <w:t>he UK National Institute for Clinical Excellence (NICE) has concluded that "</w:t>
      </w:r>
      <w:r>
        <w:t>c</w:t>
      </w:r>
      <w:r w:rsidRPr="00283672">
        <w:rPr>
          <w:bCs/>
        </w:rPr>
        <w:t>urrent evidence on therapeutic endoscopic division of epidural adhesions is limited to some evidence of short-term efficacy, and there are significant safety concerns. Therefore this procedure should only be used with special arrangements for clinical governance, consent and audit or research</w:t>
      </w:r>
      <w:r w:rsidRPr="004E306E">
        <w:rPr>
          <w:bCs/>
        </w:rPr>
        <w:t>.”</w:t>
      </w:r>
      <w:r>
        <w:rPr>
          <w:bCs/>
          <w:vertAlign w:val="superscript"/>
        </w:rPr>
        <w:t>13</w:t>
      </w:r>
    </w:p>
    <w:p w:rsidR="00004C2D" w:rsidRDefault="00004C2D">
      <w:pPr>
        <w:rPr>
          <w:bCs/>
        </w:rPr>
      </w:pPr>
    </w:p>
    <w:p w:rsidR="00004C2D" w:rsidRPr="00EA6186" w:rsidRDefault="00004C2D">
      <w:pPr>
        <w:rPr>
          <w:bCs/>
        </w:rPr>
      </w:pPr>
      <w:r>
        <w:rPr>
          <w:bCs/>
        </w:rPr>
        <w:t xml:space="preserve">Given the limited high quality research conducted on percutaneous and endoscopic </w:t>
      </w:r>
      <w:proofErr w:type="spellStart"/>
      <w:r>
        <w:rPr>
          <w:bCs/>
        </w:rPr>
        <w:t>adhesiolysis</w:t>
      </w:r>
      <w:proofErr w:type="spellEnd"/>
      <w:r>
        <w:rPr>
          <w:bCs/>
        </w:rPr>
        <w:t>, these procedures are considered investigational.</w:t>
      </w:r>
    </w:p>
    <w:p w:rsidR="00004C2D" w:rsidRPr="000465DE" w:rsidRDefault="00004C2D">
      <w:pPr>
        <w:rPr>
          <w:b/>
          <w:bCs/>
        </w:rPr>
      </w:pPr>
    </w:p>
    <w:p w:rsidR="00004C2D" w:rsidRPr="00B777AF" w:rsidRDefault="00004C2D" w:rsidP="00170B14">
      <w:pPr>
        <w:rPr>
          <w:b/>
        </w:rPr>
      </w:pPr>
      <w:bookmarkStart w:id="1" w:name="Coding_Implications"/>
      <w:r w:rsidRPr="00B777AF">
        <w:rPr>
          <w:b/>
        </w:rPr>
        <w:t>Coding Implications</w:t>
      </w:r>
    </w:p>
    <w:bookmarkEnd w:id="1"/>
    <w:p w:rsidR="00004C2D" w:rsidRDefault="00004C2D"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165E50">
        <w:t>9</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rsidR="00004C2D" w:rsidRPr="00A85489" w:rsidRDefault="00004C2D" w:rsidP="00AF5490"/>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08"/>
        <w:gridCol w:w="7816"/>
      </w:tblGrid>
      <w:tr w:rsidR="00004C2D" w:rsidRPr="00B777AF" w:rsidTr="00AB62E3">
        <w:trPr>
          <w:tblHeader/>
        </w:trPr>
        <w:tc>
          <w:tcPr>
            <w:tcW w:w="1117" w:type="dxa"/>
            <w:shd w:val="clear" w:color="auto" w:fill="00548C"/>
          </w:tcPr>
          <w:p w:rsidR="00004C2D" w:rsidRPr="008B2E73" w:rsidRDefault="00004C2D" w:rsidP="00C10DF0">
            <w:pPr>
              <w:rPr>
                <w:b/>
                <w:bCs/>
                <w:color w:val="FFFFFF"/>
              </w:rPr>
            </w:pPr>
            <w:r w:rsidRPr="008B2E73">
              <w:rPr>
                <w:b/>
                <w:color w:val="FFFFFF"/>
              </w:rPr>
              <w:t>CPT</w:t>
            </w:r>
            <w:r w:rsidRPr="008B2E73">
              <w:rPr>
                <w:b/>
                <w:color w:val="FFFFFF"/>
                <w:vertAlign w:val="superscript"/>
              </w:rPr>
              <w:t>®</w:t>
            </w:r>
            <w:r w:rsidRPr="008B2E73">
              <w:rPr>
                <w:b/>
                <w:color w:val="FFFFFF"/>
              </w:rPr>
              <w:t xml:space="preserve"> Codes </w:t>
            </w:r>
          </w:p>
        </w:tc>
        <w:tc>
          <w:tcPr>
            <w:tcW w:w="8022" w:type="dxa"/>
            <w:shd w:val="clear" w:color="auto" w:fill="00548C"/>
          </w:tcPr>
          <w:p w:rsidR="00004C2D" w:rsidRPr="008B2E73" w:rsidRDefault="00004C2D" w:rsidP="00C10DF0">
            <w:pPr>
              <w:rPr>
                <w:b/>
                <w:bCs/>
                <w:color w:val="FFFFFF"/>
              </w:rPr>
            </w:pPr>
            <w:r w:rsidRPr="008B2E73">
              <w:rPr>
                <w:b/>
                <w:color w:val="FFFFFF"/>
              </w:rPr>
              <w:t>Description</w:t>
            </w:r>
          </w:p>
        </w:tc>
      </w:tr>
      <w:tr w:rsidR="00004C2D" w:rsidRPr="005144C0" w:rsidTr="00AB62E3">
        <w:tc>
          <w:tcPr>
            <w:tcW w:w="1117" w:type="dxa"/>
          </w:tcPr>
          <w:p w:rsidR="00004C2D" w:rsidRPr="008B2E73" w:rsidRDefault="00004C2D" w:rsidP="00C10DF0">
            <w:pPr>
              <w:rPr>
                <w:bCs/>
              </w:rPr>
            </w:pPr>
            <w:r w:rsidRPr="008B2E73">
              <w:rPr>
                <w:bCs/>
              </w:rPr>
              <w:t>62263</w:t>
            </w:r>
          </w:p>
        </w:tc>
        <w:tc>
          <w:tcPr>
            <w:tcW w:w="8022" w:type="dxa"/>
          </w:tcPr>
          <w:p w:rsidR="00004C2D" w:rsidRPr="008B2E73" w:rsidRDefault="00004C2D" w:rsidP="00C10DF0">
            <w:pPr>
              <w:rPr>
                <w:bCs/>
              </w:rPr>
            </w:pPr>
            <w:r w:rsidRPr="008B2E73">
              <w:rPr>
                <w:bCs/>
              </w:rPr>
              <w:t>Percutaneous lysis of epidural adhesions using solution injection (</w:t>
            </w:r>
            <w:proofErr w:type="spellStart"/>
            <w:r w:rsidRPr="008B2E73">
              <w:rPr>
                <w:bCs/>
              </w:rPr>
              <w:t>eg</w:t>
            </w:r>
            <w:proofErr w:type="spellEnd"/>
            <w:r w:rsidRPr="008B2E73">
              <w:rPr>
                <w:bCs/>
              </w:rPr>
              <w:t xml:space="preserve">, hypertonic saline, enzyme) or mechanical means (e.g., catheter) including radiologic localization (includes contrast when administered), multiple </w:t>
            </w:r>
            <w:proofErr w:type="spellStart"/>
            <w:r w:rsidRPr="008B2E73">
              <w:rPr>
                <w:bCs/>
              </w:rPr>
              <w:t>adhesiolysis</w:t>
            </w:r>
            <w:proofErr w:type="spellEnd"/>
            <w:r w:rsidRPr="008B2E73">
              <w:rPr>
                <w:bCs/>
              </w:rPr>
              <w:t xml:space="preserve"> sessions; 2 or more days</w:t>
            </w:r>
          </w:p>
        </w:tc>
      </w:tr>
      <w:tr w:rsidR="00004C2D" w:rsidRPr="005144C0" w:rsidTr="00AB62E3">
        <w:tc>
          <w:tcPr>
            <w:tcW w:w="1117" w:type="dxa"/>
          </w:tcPr>
          <w:p w:rsidR="00004C2D" w:rsidRPr="008B2E73" w:rsidRDefault="00004C2D" w:rsidP="00C10DF0">
            <w:pPr>
              <w:rPr>
                <w:bCs/>
              </w:rPr>
            </w:pPr>
            <w:r w:rsidRPr="008B2E73">
              <w:rPr>
                <w:bCs/>
              </w:rPr>
              <w:t>62264</w:t>
            </w:r>
          </w:p>
        </w:tc>
        <w:tc>
          <w:tcPr>
            <w:tcW w:w="8022" w:type="dxa"/>
          </w:tcPr>
          <w:p w:rsidR="00004C2D" w:rsidRPr="008B2E73" w:rsidRDefault="00004C2D" w:rsidP="00C10DF0">
            <w:pPr>
              <w:rPr>
                <w:bCs/>
              </w:rPr>
            </w:pPr>
            <w:r w:rsidRPr="006E52C7">
              <w:t>Percutaneous lysis of epidural adhesions using solution injection (</w:t>
            </w:r>
            <w:proofErr w:type="spellStart"/>
            <w:r w:rsidRPr="006E52C7">
              <w:t>eg</w:t>
            </w:r>
            <w:proofErr w:type="spellEnd"/>
            <w:r w:rsidRPr="006E52C7">
              <w:t xml:space="preserve">, hypertonic saline, enzyme) or mechanical means (e.g., catheter) including radiologic localization (includes contrast when administered), multiple </w:t>
            </w:r>
            <w:proofErr w:type="spellStart"/>
            <w:r w:rsidRPr="006E52C7">
              <w:t>adhesiolysis</w:t>
            </w:r>
            <w:proofErr w:type="spellEnd"/>
            <w:r w:rsidRPr="006E52C7">
              <w:t xml:space="preserve"> sessions; 1 day</w:t>
            </w:r>
          </w:p>
        </w:tc>
      </w:tr>
    </w:tbl>
    <w:p w:rsidR="00004C2D" w:rsidRDefault="00004C2D" w:rsidP="00AF5490"/>
    <w:p w:rsidR="00004C2D" w:rsidRPr="00350F22" w:rsidRDefault="00004C2D" w:rsidP="00AF5490">
      <w:pPr>
        <w:rPr>
          <w:b/>
        </w:rPr>
      </w:pPr>
      <w:r w:rsidRPr="00350F22">
        <w:rPr>
          <w:b/>
        </w:rPr>
        <w:t xml:space="preserve">ICD-10-CM Diagnosis Codes </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065"/>
        <w:gridCol w:w="6859"/>
      </w:tblGrid>
      <w:tr w:rsidR="00004C2D" w:rsidRPr="00B777AF" w:rsidTr="00942A94">
        <w:trPr>
          <w:tblHeader/>
        </w:trPr>
        <w:tc>
          <w:tcPr>
            <w:tcW w:w="2065" w:type="dxa"/>
            <w:shd w:val="clear" w:color="auto" w:fill="00548C"/>
          </w:tcPr>
          <w:p w:rsidR="00004C2D" w:rsidRPr="008B2E73" w:rsidRDefault="00004C2D" w:rsidP="00350F22">
            <w:pPr>
              <w:rPr>
                <w:b/>
                <w:bCs/>
                <w:color w:val="FFFFFF"/>
              </w:rPr>
            </w:pPr>
            <w:r w:rsidRPr="008B2E73">
              <w:rPr>
                <w:b/>
                <w:color w:val="FFFFFF"/>
              </w:rPr>
              <w:lastRenderedPageBreak/>
              <w:t>ICD-10-CM Code</w:t>
            </w:r>
          </w:p>
        </w:tc>
        <w:tc>
          <w:tcPr>
            <w:tcW w:w="6859" w:type="dxa"/>
            <w:shd w:val="clear" w:color="auto" w:fill="00548C"/>
          </w:tcPr>
          <w:p w:rsidR="00004C2D" w:rsidRPr="008B2E73" w:rsidRDefault="00004C2D" w:rsidP="00F91367">
            <w:pPr>
              <w:rPr>
                <w:b/>
                <w:bCs/>
                <w:color w:val="FFFFFF"/>
              </w:rPr>
            </w:pPr>
            <w:r w:rsidRPr="008B2E73">
              <w:rPr>
                <w:b/>
                <w:color w:val="FFFFFF"/>
              </w:rPr>
              <w:t>Description</w:t>
            </w:r>
          </w:p>
        </w:tc>
      </w:tr>
      <w:tr w:rsidR="00004C2D" w:rsidRPr="005144C0" w:rsidTr="00942A94">
        <w:tc>
          <w:tcPr>
            <w:tcW w:w="2065" w:type="dxa"/>
          </w:tcPr>
          <w:p w:rsidR="00004C2D" w:rsidRPr="008B2E73" w:rsidRDefault="00004C2D" w:rsidP="004E306E">
            <w:pPr>
              <w:rPr>
                <w:bCs/>
              </w:rPr>
            </w:pPr>
            <w:r>
              <w:rPr>
                <w:bCs/>
              </w:rPr>
              <w:t>G</w:t>
            </w:r>
            <w:r w:rsidRPr="008B2E73">
              <w:rPr>
                <w:bCs/>
              </w:rPr>
              <w:t>96.12</w:t>
            </w:r>
          </w:p>
        </w:tc>
        <w:tc>
          <w:tcPr>
            <w:tcW w:w="6859" w:type="dxa"/>
          </w:tcPr>
          <w:p w:rsidR="00004C2D" w:rsidRPr="004E306E" w:rsidRDefault="00004C2D" w:rsidP="004E306E">
            <w:r w:rsidRPr="004E306E">
              <w:t>Meningeal adhesions (cerebral) (spinal)</w:t>
            </w:r>
          </w:p>
        </w:tc>
      </w:tr>
      <w:tr w:rsidR="00004C2D" w:rsidRPr="005144C0" w:rsidTr="00942A94">
        <w:tc>
          <w:tcPr>
            <w:tcW w:w="2065" w:type="dxa"/>
          </w:tcPr>
          <w:p w:rsidR="00004C2D" w:rsidRPr="008B2E73" w:rsidRDefault="00004C2D" w:rsidP="004E306E">
            <w:pPr>
              <w:rPr>
                <w:bCs/>
              </w:rPr>
            </w:pPr>
            <w:r>
              <w:rPr>
                <w:bCs/>
              </w:rPr>
              <w:t>G</w:t>
            </w:r>
            <w:r w:rsidRPr="008B2E73">
              <w:rPr>
                <w:bCs/>
              </w:rPr>
              <w:t>96.19</w:t>
            </w:r>
          </w:p>
        </w:tc>
        <w:tc>
          <w:tcPr>
            <w:tcW w:w="6859" w:type="dxa"/>
          </w:tcPr>
          <w:p w:rsidR="00004C2D" w:rsidRPr="004E306E" w:rsidRDefault="00004C2D" w:rsidP="004E306E">
            <w:r w:rsidRPr="004E306E">
              <w:t>Other disorders of meninges, not elsewhere classified</w:t>
            </w:r>
          </w:p>
        </w:tc>
      </w:tr>
      <w:tr w:rsidR="002C6AFD" w:rsidRPr="005144C0" w:rsidTr="00942A94">
        <w:tc>
          <w:tcPr>
            <w:tcW w:w="2065" w:type="dxa"/>
          </w:tcPr>
          <w:p w:rsidR="002C6AFD" w:rsidRDefault="002C6AFD" w:rsidP="004E306E">
            <w:pPr>
              <w:rPr>
                <w:bCs/>
              </w:rPr>
            </w:pPr>
            <w:r>
              <w:rPr>
                <w:bCs/>
              </w:rPr>
              <w:t>M48.00-M48.08</w:t>
            </w:r>
          </w:p>
        </w:tc>
        <w:tc>
          <w:tcPr>
            <w:tcW w:w="6859" w:type="dxa"/>
          </w:tcPr>
          <w:p w:rsidR="002C6AFD" w:rsidRPr="004E306E" w:rsidRDefault="002C6AFD" w:rsidP="004E306E">
            <w:r>
              <w:t>Spinal Stenosis</w:t>
            </w:r>
          </w:p>
        </w:tc>
      </w:tr>
      <w:tr w:rsidR="00004C2D" w:rsidRPr="005144C0" w:rsidTr="00942A94">
        <w:tc>
          <w:tcPr>
            <w:tcW w:w="2065" w:type="dxa"/>
          </w:tcPr>
          <w:p w:rsidR="00004C2D" w:rsidRPr="008B2E73" w:rsidRDefault="00004C2D" w:rsidP="004E306E">
            <w:pPr>
              <w:rPr>
                <w:bCs/>
              </w:rPr>
            </w:pPr>
            <w:r w:rsidRPr="008B2E73">
              <w:rPr>
                <w:bCs/>
              </w:rPr>
              <w:t>M50.00-M50.03</w:t>
            </w:r>
          </w:p>
        </w:tc>
        <w:tc>
          <w:tcPr>
            <w:tcW w:w="6859" w:type="dxa"/>
          </w:tcPr>
          <w:p w:rsidR="00004C2D" w:rsidRPr="004E306E" w:rsidRDefault="00004C2D" w:rsidP="004E306E">
            <w:r w:rsidRPr="004E306E">
              <w:t>Cervical disc disorder with myelopathy</w:t>
            </w:r>
          </w:p>
        </w:tc>
      </w:tr>
      <w:tr w:rsidR="00004C2D" w:rsidRPr="005144C0" w:rsidTr="00942A94">
        <w:tc>
          <w:tcPr>
            <w:tcW w:w="2065" w:type="dxa"/>
          </w:tcPr>
          <w:p w:rsidR="00004C2D" w:rsidRPr="008B2E73" w:rsidRDefault="00004C2D" w:rsidP="00942A94">
            <w:pPr>
              <w:rPr>
                <w:bCs/>
              </w:rPr>
            </w:pPr>
            <w:r w:rsidRPr="008B2E73">
              <w:rPr>
                <w:bCs/>
              </w:rPr>
              <w:t>M50.20</w:t>
            </w:r>
            <w:r w:rsidR="006D1D83">
              <w:rPr>
                <w:bCs/>
              </w:rPr>
              <w:softHyphen/>
              <w:t>-M50.23</w:t>
            </w:r>
          </w:p>
        </w:tc>
        <w:tc>
          <w:tcPr>
            <w:tcW w:w="6859" w:type="dxa"/>
          </w:tcPr>
          <w:p w:rsidR="00004C2D" w:rsidRPr="004E306E" w:rsidRDefault="00004C2D" w:rsidP="004E306E">
            <w:r w:rsidRPr="004E306E">
              <w:t>Other cervical disc displacement</w:t>
            </w:r>
          </w:p>
        </w:tc>
      </w:tr>
      <w:tr w:rsidR="00004C2D" w:rsidRPr="005144C0" w:rsidTr="00942A94">
        <w:tc>
          <w:tcPr>
            <w:tcW w:w="2065" w:type="dxa"/>
          </w:tcPr>
          <w:p w:rsidR="00004C2D" w:rsidRPr="008B2E73" w:rsidRDefault="00004C2D" w:rsidP="004E306E">
            <w:pPr>
              <w:rPr>
                <w:bCs/>
              </w:rPr>
            </w:pPr>
            <w:r w:rsidRPr="008B2E73">
              <w:rPr>
                <w:bCs/>
              </w:rPr>
              <w:t>M50.30-M50.33</w:t>
            </w:r>
          </w:p>
        </w:tc>
        <w:tc>
          <w:tcPr>
            <w:tcW w:w="6859" w:type="dxa"/>
          </w:tcPr>
          <w:p w:rsidR="00004C2D" w:rsidRPr="004E306E" w:rsidRDefault="00004C2D" w:rsidP="004E306E">
            <w:r w:rsidRPr="004E306E">
              <w:t>Other cervical disc degeneration</w:t>
            </w:r>
          </w:p>
        </w:tc>
      </w:tr>
      <w:tr w:rsidR="00004C2D" w:rsidRPr="005144C0" w:rsidTr="00942A94">
        <w:tc>
          <w:tcPr>
            <w:tcW w:w="2065" w:type="dxa"/>
          </w:tcPr>
          <w:p w:rsidR="00004C2D" w:rsidRPr="008B2E73" w:rsidRDefault="00004C2D" w:rsidP="004E306E">
            <w:pPr>
              <w:rPr>
                <w:bCs/>
              </w:rPr>
            </w:pPr>
            <w:r w:rsidRPr="008B2E73">
              <w:rPr>
                <w:bCs/>
              </w:rPr>
              <w:t>M51.0</w:t>
            </w:r>
            <w:r w:rsidR="006D1D83">
              <w:rPr>
                <w:bCs/>
              </w:rPr>
              <w:t>4</w:t>
            </w:r>
            <w:r w:rsidRPr="008B2E73">
              <w:rPr>
                <w:bCs/>
              </w:rPr>
              <w:t>-M51.0</w:t>
            </w:r>
            <w:r>
              <w:rPr>
                <w:bCs/>
              </w:rPr>
              <w:t>6</w:t>
            </w:r>
          </w:p>
        </w:tc>
        <w:tc>
          <w:tcPr>
            <w:tcW w:w="6859" w:type="dxa"/>
          </w:tcPr>
          <w:p w:rsidR="00004C2D" w:rsidRPr="008B2E73" w:rsidRDefault="00004C2D" w:rsidP="004E306E">
            <w:pPr>
              <w:pStyle w:val="Default"/>
              <w:rPr>
                <w:rFonts w:ascii="Times New Roman" w:hAnsi="Times New Roman" w:cs="Times New Roman"/>
              </w:rPr>
            </w:pPr>
            <w:r w:rsidRPr="008B2E73">
              <w:rPr>
                <w:rFonts w:ascii="Times New Roman" w:hAnsi="Times New Roman" w:cs="Times New Roman"/>
              </w:rPr>
              <w:t xml:space="preserve">Thoracic, thoracolumbar, and lumbosacral intervertebral disc </w:t>
            </w:r>
          </w:p>
          <w:p w:rsidR="00004C2D" w:rsidRPr="004E306E" w:rsidRDefault="00004C2D" w:rsidP="004E306E">
            <w:r w:rsidRPr="004E306E">
              <w:t>disorders with myelopathy</w:t>
            </w:r>
          </w:p>
        </w:tc>
      </w:tr>
      <w:tr w:rsidR="00004C2D" w:rsidRPr="005144C0" w:rsidTr="00942A94">
        <w:tc>
          <w:tcPr>
            <w:tcW w:w="2065" w:type="dxa"/>
          </w:tcPr>
          <w:p w:rsidR="00004C2D" w:rsidRPr="008B2E73" w:rsidRDefault="00004C2D" w:rsidP="004E306E">
            <w:pPr>
              <w:rPr>
                <w:bCs/>
              </w:rPr>
            </w:pPr>
            <w:r w:rsidRPr="008B2E73">
              <w:rPr>
                <w:bCs/>
              </w:rPr>
              <w:t>M51.24-M51.27</w:t>
            </w:r>
          </w:p>
        </w:tc>
        <w:tc>
          <w:tcPr>
            <w:tcW w:w="6859" w:type="dxa"/>
          </w:tcPr>
          <w:p w:rsidR="00004C2D" w:rsidRPr="008B2E73" w:rsidRDefault="00004C2D" w:rsidP="004E306E">
            <w:pPr>
              <w:pStyle w:val="Default"/>
              <w:rPr>
                <w:rFonts w:ascii="Times New Roman" w:hAnsi="Times New Roman" w:cs="Times New Roman"/>
              </w:rPr>
            </w:pPr>
            <w:r w:rsidRPr="008B2E73">
              <w:rPr>
                <w:rFonts w:ascii="Times New Roman" w:hAnsi="Times New Roman" w:cs="Times New Roman"/>
              </w:rPr>
              <w:t xml:space="preserve">Other thoracic, thoracolumbar, and lumbosacral intervertebral </w:t>
            </w:r>
          </w:p>
          <w:p w:rsidR="00004C2D" w:rsidRPr="004E306E" w:rsidRDefault="00004C2D" w:rsidP="004E306E">
            <w:r w:rsidRPr="004E306E">
              <w:t>disc displacement</w:t>
            </w:r>
          </w:p>
        </w:tc>
      </w:tr>
      <w:tr w:rsidR="00004C2D" w:rsidRPr="005144C0" w:rsidTr="00942A94">
        <w:tc>
          <w:tcPr>
            <w:tcW w:w="2065" w:type="dxa"/>
          </w:tcPr>
          <w:p w:rsidR="00004C2D" w:rsidRPr="008B2E73" w:rsidRDefault="00004C2D" w:rsidP="004E306E">
            <w:pPr>
              <w:rPr>
                <w:bCs/>
              </w:rPr>
            </w:pPr>
            <w:r w:rsidRPr="008B2E73">
              <w:rPr>
                <w:bCs/>
              </w:rPr>
              <w:t>M51.34-M51.37</w:t>
            </w:r>
          </w:p>
        </w:tc>
        <w:tc>
          <w:tcPr>
            <w:tcW w:w="6859" w:type="dxa"/>
          </w:tcPr>
          <w:p w:rsidR="00004C2D" w:rsidRPr="008B2E73" w:rsidRDefault="00004C2D" w:rsidP="004E306E">
            <w:pPr>
              <w:pStyle w:val="Default"/>
              <w:rPr>
                <w:rFonts w:ascii="Times New Roman" w:hAnsi="Times New Roman" w:cs="Times New Roman"/>
              </w:rPr>
            </w:pPr>
            <w:r w:rsidRPr="008B2E73">
              <w:rPr>
                <w:rFonts w:ascii="Times New Roman" w:hAnsi="Times New Roman" w:cs="Times New Roman"/>
              </w:rPr>
              <w:t xml:space="preserve">Other thoracic, thoracolumbar, and lumbosacral intervertebral </w:t>
            </w:r>
          </w:p>
          <w:p w:rsidR="00004C2D" w:rsidRPr="004E306E" w:rsidRDefault="00004C2D" w:rsidP="004E306E">
            <w:r w:rsidRPr="004E306E">
              <w:t>disc degeneration</w:t>
            </w:r>
          </w:p>
        </w:tc>
      </w:tr>
      <w:tr w:rsidR="00004C2D" w:rsidRPr="005144C0" w:rsidTr="00942A94">
        <w:tc>
          <w:tcPr>
            <w:tcW w:w="2065" w:type="dxa"/>
          </w:tcPr>
          <w:p w:rsidR="00004C2D" w:rsidRPr="00AB62E3" w:rsidRDefault="00004C2D" w:rsidP="004E306E">
            <w:pPr>
              <w:rPr>
                <w:bCs/>
              </w:rPr>
            </w:pPr>
            <w:r w:rsidRPr="00AB62E3">
              <w:rPr>
                <w:bCs/>
              </w:rPr>
              <w:t>M96.1</w:t>
            </w:r>
            <w:r w:rsidRPr="00AB62E3">
              <w:rPr>
                <w:bCs/>
              </w:rPr>
              <w:tab/>
            </w:r>
          </w:p>
        </w:tc>
        <w:tc>
          <w:tcPr>
            <w:tcW w:w="6859" w:type="dxa"/>
          </w:tcPr>
          <w:p w:rsidR="00004C2D" w:rsidRPr="00AB62E3" w:rsidRDefault="00004C2D" w:rsidP="004E306E">
            <w:pPr>
              <w:pStyle w:val="Default"/>
              <w:rPr>
                <w:rFonts w:ascii="Times New Roman" w:hAnsi="Times New Roman" w:cs="Times New Roman"/>
              </w:rPr>
            </w:pPr>
            <w:proofErr w:type="spellStart"/>
            <w:r w:rsidRPr="00AB62E3">
              <w:rPr>
                <w:rFonts w:ascii="Times New Roman" w:hAnsi="Times New Roman" w:cs="Times New Roman"/>
              </w:rPr>
              <w:t>Postlaminectomy</w:t>
            </w:r>
            <w:proofErr w:type="spellEnd"/>
            <w:r w:rsidRPr="00AB62E3">
              <w:rPr>
                <w:rFonts w:ascii="Times New Roman" w:hAnsi="Times New Roman" w:cs="Times New Roman"/>
              </w:rPr>
              <w:t xml:space="preserve"> syndrome, not elsewhere classified</w:t>
            </w:r>
          </w:p>
        </w:tc>
      </w:tr>
    </w:tbl>
    <w:p w:rsidR="00004C2D" w:rsidRDefault="00004C2D"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004C2D" w:rsidRPr="00B777AF" w:rsidTr="008B2E73">
        <w:trPr>
          <w:tblHeader/>
        </w:trPr>
        <w:tc>
          <w:tcPr>
            <w:tcW w:w="7578" w:type="dxa"/>
            <w:tcBorders>
              <w:top w:val="single" w:sz="8" w:space="0" w:color="4F81BD"/>
            </w:tcBorders>
            <w:shd w:val="clear" w:color="auto" w:fill="00548C"/>
          </w:tcPr>
          <w:p w:rsidR="00004C2D" w:rsidRPr="008B2E73" w:rsidRDefault="00004C2D" w:rsidP="00B777AF">
            <w:pPr>
              <w:rPr>
                <w:b/>
                <w:bCs/>
                <w:color w:val="FFFFFF"/>
              </w:rPr>
            </w:pPr>
            <w:bookmarkStart w:id="2" w:name="Revision_Log"/>
            <w:r w:rsidRPr="008B2E73">
              <w:rPr>
                <w:b/>
                <w:color w:val="FFFFFF"/>
              </w:rPr>
              <w:t>Reviews, Revisions, and Approvals</w:t>
            </w:r>
            <w:bookmarkEnd w:id="2"/>
          </w:p>
        </w:tc>
        <w:tc>
          <w:tcPr>
            <w:tcW w:w="810" w:type="dxa"/>
            <w:shd w:val="clear" w:color="auto" w:fill="00548C"/>
          </w:tcPr>
          <w:p w:rsidR="00004C2D" w:rsidRPr="008B2E73" w:rsidRDefault="00004C2D" w:rsidP="008B2E73">
            <w:pPr>
              <w:jc w:val="center"/>
              <w:rPr>
                <w:b/>
                <w:bCs/>
                <w:color w:val="FFFFFF"/>
              </w:rPr>
            </w:pPr>
            <w:r w:rsidRPr="008B2E73">
              <w:rPr>
                <w:b/>
                <w:color w:val="FFFFFF"/>
              </w:rPr>
              <w:t>Date</w:t>
            </w:r>
          </w:p>
        </w:tc>
        <w:tc>
          <w:tcPr>
            <w:tcW w:w="1260" w:type="dxa"/>
            <w:tcBorders>
              <w:top w:val="single" w:sz="8" w:space="0" w:color="4F81BD"/>
            </w:tcBorders>
            <w:shd w:val="clear" w:color="auto" w:fill="00548C"/>
          </w:tcPr>
          <w:p w:rsidR="00004C2D" w:rsidRPr="008B2E73" w:rsidRDefault="00004C2D" w:rsidP="008B2E73">
            <w:pPr>
              <w:jc w:val="center"/>
              <w:rPr>
                <w:b/>
                <w:bCs/>
                <w:color w:val="FFFFFF"/>
              </w:rPr>
            </w:pPr>
            <w:r w:rsidRPr="008B2E73">
              <w:rPr>
                <w:b/>
                <w:color w:val="FFFFFF"/>
              </w:rPr>
              <w:t>Approval Date</w:t>
            </w:r>
          </w:p>
        </w:tc>
      </w:tr>
      <w:tr w:rsidR="00004C2D" w:rsidTr="008B2E73">
        <w:tc>
          <w:tcPr>
            <w:tcW w:w="7578" w:type="dxa"/>
          </w:tcPr>
          <w:p w:rsidR="00004C2D" w:rsidRDefault="00004C2D" w:rsidP="008B2E73">
            <w:pPr>
              <w:tabs>
                <w:tab w:val="num" w:pos="720"/>
              </w:tabs>
            </w:pPr>
            <w:r>
              <w:t>Policy split from CP.MP.63 Pain Management Procedures. Background information added.</w:t>
            </w:r>
          </w:p>
        </w:tc>
        <w:tc>
          <w:tcPr>
            <w:tcW w:w="810" w:type="dxa"/>
          </w:tcPr>
          <w:p w:rsidR="00004C2D" w:rsidRDefault="00004C2D" w:rsidP="008B2E73">
            <w:pPr>
              <w:jc w:val="center"/>
            </w:pPr>
            <w:r>
              <w:t>07/16</w:t>
            </w:r>
          </w:p>
        </w:tc>
        <w:tc>
          <w:tcPr>
            <w:tcW w:w="1260" w:type="dxa"/>
          </w:tcPr>
          <w:p w:rsidR="00004C2D" w:rsidRDefault="00EF3690" w:rsidP="008B2E73">
            <w:pPr>
              <w:jc w:val="center"/>
            </w:pPr>
            <w:r>
              <w:t>07/16</w:t>
            </w:r>
          </w:p>
        </w:tc>
      </w:tr>
      <w:tr w:rsidR="0013380E" w:rsidTr="008B2E73">
        <w:tc>
          <w:tcPr>
            <w:tcW w:w="7578" w:type="dxa"/>
          </w:tcPr>
          <w:p w:rsidR="0013380E" w:rsidRDefault="0013380E" w:rsidP="008B2E73">
            <w:pPr>
              <w:tabs>
                <w:tab w:val="num" w:pos="720"/>
              </w:tabs>
            </w:pPr>
            <w:r>
              <w:t>References reviewed &amp; updated.</w:t>
            </w:r>
          </w:p>
        </w:tc>
        <w:tc>
          <w:tcPr>
            <w:tcW w:w="810" w:type="dxa"/>
          </w:tcPr>
          <w:p w:rsidR="0013380E" w:rsidRDefault="0013380E" w:rsidP="008B2E73">
            <w:pPr>
              <w:jc w:val="center"/>
            </w:pPr>
            <w:r>
              <w:t>06/17</w:t>
            </w:r>
          </w:p>
        </w:tc>
        <w:tc>
          <w:tcPr>
            <w:tcW w:w="1260" w:type="dxa"/>
          </w:tcPr>
          <w:p w:rsidR="0013380E" w:rsidRDefault="002D5028" w:rsidP="008B2E73">
            <w:pPr>
              <w:jc w:val="center"/>
            </w:pPr>
            <w:r>
              <w:t>07/17</w:t>
            </w:r>
          </w:p>
        </w:tc>
      </w:tr>
      <w:tr w:rsidR="00696FC3" w:rsidTr="008B2E73">
        <w:tc>
          <w:tcPr>
            <w:tcW w:w="7578" w:type="dxa"/>
          </w:tcPr>
          <w:p w:rsidR="00696FC3" w:rsidRDefault="00AF5623" w:rsidP="00942A94">
            <w:pPr>
              <w:tabs>
                <w:tab w:val="num" w:pos="720"/>
              </w:tabs>
            </w:pPr>
            <w:r>
              <w:t>References reviewed and updated.  Codes reviewed and updated</w:t>
            </w:r>
          </w:p>
        </w:tc>
        <w:tc>
          <w:tcPr>
            <w:tcW w:w="810" w:type="dxa"/>
          </w:tcPr>
          <w:p w:rsidR="00696FC3" w:rsidRDefault="00AF5623" w:rsidP="008B2E73">
            <w:pPr>
              <w:jc w:val="center"/>
            </w:pPr>
            <w:r>
              <w:t>04/18</w:t>
            </w:r>
          </w:p>
        </w:tc>
        <w:tc>
          <w:tcPr>
            <w:tcW w:w="1260" w:type="dxa"/>
          </w:tcPr>
          <w:p w:rsidR="00696FC3" w:rsidRDefault="00B62BE1" w:rsidP="008B2E73">
            <w:pPr>
              <w:jc w:val="center"/>
            </w:pPr>
            <w:r>
              <w:t>05/18</w:t>
            </w:r>
          </w:p>
        </w:tc>
      </w:tr>
      <w:tr w:rsidR="00770B65" w:rsidTr="008B2E73">
        <w:tc>
          <w:tcPr>
            <w:tcW w:w="7578" w:type="dxa"/>
          </w:tcPr>
          <w:p w:rsidR="00770B65" w:rsidRDefault="00E51E9A" w:rsidP="00942A94">
            <w:pPr>
              <w:tabs>
                <w:tab w:val="num" w:pos="720"/>
              </w:tabs>
            </w:pPr>
            <w:r>
              <w:t>References reviewed and updated.</w:t>
            </w:r>
            <w:r w:rsidR="007B5968">
              <w:t xml:space="preserve">  Specialist reviewed.</w:t>
            </w:r>
          </w:p>
        </w:tc>
        <w:tc>
          <w:tcPr>
            <w:tcW w:w="810" w:type="dxa"/>
          </w:tcPr>
          <w:p w:rsidR="00770B65" w:rsidRDefault="00775635" w:rsidP="008A72AE">
            <w:pPr>
              <w:jc w:val="center"/>
            </w:pPr>
            <w:r>
              <w:t>04/1</w:t>
            </w:r>
            <w:r w:rsidR="008A72AE">
              <w:t>9</w:t>
            </w:r>
          </w:p>
        </w:tc>
        <w:tc>
          <w:tcPr>
            <w:tcW w:w="1260" w:type="dxa"/>
          </w:tcPr>
          <w:p w:rsidR="00770B65" w:rsidRDefault="005B70EC" w:rsidP="008B2E73">
            <w:pPr>
              <w:jc w:val="center"/>
            </w:pPr>
            <w:r>
              <w:t>05/19</w:t>
            </w:r>
          </w:p>
        </w:tc>
      </w:tr>
    </w:tbl>
    <w:p w:rsidR="00004C2D" w:rsidRDefault="00004C2D" w:rsidP="00B777AF">
      <w:pPr>
        <w:pStyle w:val="Heading6"/>
        <w:tabs>
          <w:tab w:val="clear" w:pos="0"/>
        </w:tabs>
      </w:pPr>
    </w:p>
    <w:p w:rsidR="00004C2D" w:rsidRPr="00B777AF" w:rsidRDefault="00004C2D" w:rsidP="00963062">
      <w:pPr>
        <w:pStyle w:val="Heading3"/>
      </w:pPr>
      <w:r>
        <w:t>References</w:t>
      </w:r>
    </w:p>
    <w:p w:rsidR="00004C2D" w:rsidRPr="008810FE" w:rsidRDefault="00004C2D" w:rsidP="00E2679C">
      <w:pPr>
        <w:pStyle w:val="ListParagraph"/>
        <w:numPr>
          <w:ilvl w:val="0"/>
          <w:numId w:val="23"/>
        </w:numPr>
        <w:ind w:left="360"/>
      </w:pPr>
      <w:proofErr w:type="spellStart"/>
      <w:r w:rsidRPr="008810FE">
        <w:t>Heavner</w:t>
      </w:r>
      <w:proofErr w:type="spellEnd"/>
      <w:r w:rsidRPr="008810FE">
        <w:t xml:space="preserve"> JE, </w:t>
      </w:r>
      <w:proofErr w:type="spellStart"/>
      <w:r w:rsidRPr="008810FE">
        <w:t>Racz</w:t>
      </w:r>
      <w:proofErr w:type="spellEnd"/>
      <w:r w:rsidRPr="008810FE">
        <w:t xml:space="preserve"> GB, Raj P. Percutaneous epidural </w:t>
      </w:r>
      <w:proofErr w:type="spellStart"/>
      <w:r w:rsidRPr="008810FE">
        <w:t>neuroplasty</w:t>
      </w:r>
      <w:proofErr w:type="spellEnd"/>
      <w:r w:rsidRPr="008810FE">
        <w:t xml:space="preserve">: prospective evaluation of 0.9% </w:t>
      </w:r>
      <w:proofErr w:type="spellStart"/>
      <w:r w:rsidRPr="008810FE">
        <w:t>NaCl</w:t>
      </w:r>
      <w:proofErr w:type="spellEnd"/>
      <w:r w:rsidRPr="008810FE">
        <w:t xml:space="preserve"> versus 10% </w:t>
      </w:r>
      <w:proofErr w:type="spellStart"/>
      <w:r w:rsidRPr="008810FE">
        <w:t>NaCl</w:t>
      </w:r>
      <w:proofErr w:type="spellEnd"/>
      <w:r w:rsidRPr="008810FE">
        <w:t xml:space="preserve"> with or without hyaluronidase. </w:t>
      </w:r>
      <w:proofErr w:type="spellStart"/>
      <w:r w:rsidRPr="008810FE">
        <w:t>Reg</w:t>
      </w:r>
      <w:proofErr w:type="spellEnd"/>
      <w:r w:rsidRPr="008810FE">
        <w:t xml:space="preserve"> </w:t>
      </w:r>
      <w:proofErr w:type="spellStart"/>
      <w:r w:rsidRPr="008810FE">
        <w:t>Anesth</w:t>
      </w:r>
      <w:proofErr w:type="spellEnd"/>
      <w:r w:rsidRPr="008810FE">
        <w:t xml:space="preserve"> Pain Med. 1999</w:t>
      </w:r>
      <w:proofErr w:type="gramStart"/>
      <w:r w:rsidRPr="008810FE">
        <w:t>;24</w:t>
      </w:r>
      <w:proofErr w:type="gramEnd"/>
      <w:r w:rsidRPr="008810FE">
        <w:t>(3):202-207.</w:t>
      </w:r>
    </w:p>
    <w:p w:rsidR="00004C2D" w:rsidRPr="008810FE" w:rsidRDefault="00004C2D" w:rsidP="00E2679C">
      <w:pPr>
        <w:pStyle w:val="ListParagraph"/>
        <w:numPr>
          <w:ilvl w:val="0"/>
          <w:numId w:val="23"/>
        </w:numPr>
        <w:ind w:left="360"/>
      </w:pPr>
      <w:proofErr w:type="spellStart"/>
      <w:r w:rsidRPr="008810FE">
        <w:t>Veihelmann</w:t>
      </w:r>
      <w:proofErr w:type="spellEnd"/>
      <w:r w:rsidRPr="008810FE">
        <w:t xml:space="preserve"> A, </w:t>
      </w:r>
      <w:proofErr w:type="spellStart"/>
      <w:r w:rsidRPr="008810FE">
        <w:t>Devens</w:t>
      </w:r>
      <w:proofErr w:type="spellEnd"/>
      <w:r w:rsidRPr="008810FE">
        <w:t xml:space="preserve"> C, </w:t>
      </w:r>
      <w:proofErr w:type="spellStart"/>
      <w:r w:rsidRPr="008810FE">
        <w:t>Trouillier</w:t>
      </w:r>
      <w:proofErr w:type="spellEnd"/>
      <w:r w:rsidRPr="008810FE">
        <w:t xml:space="preserve"> H, </w:t>
      </w:r>
      <w:r w:rsidR="00696FC3">
        <w:t xml:space="preserve">et al. </w:t>
      </w:r>
      <w:r w:rsidRPr="008810FE">
        <w:t xml:space="preserve"> Epidural </w:t>
      </w:r>
      <w:proofErr w:type="spellStart"/>
      <w:r w:rsidRPr="008810FE">
        <w:t>neuroplasty</w:t>
      </w:r>
      <w:proofErr w:type="spellEnd"/>
      <w:r w:rsidRPr="008810FE">
        <w:t xml:space="preserve"> versus physiotherapy to relieve pain in patients with sciatica: a prospective randomized blinded clinical trial. J </w:t>
      </w:r>
      <w:proofErr w:type="spellStart"/>
      <w:r w:rsidRPr="008810FE">
        <w:t>Orthop</w:t>
      </w:r>
      <w:proofErr w:type="spellEnd"/>
      <w:r w:rsidRPr="008810FE">
        <w:t xml:space="preserve"> Sci. 2006</w:t>
      </w:r>
      <w:proofErr w:type="gramStart"/>
      <w:r w:rsidRPr="008810FE">
        <w:t>;11</w:t>
      </w:r>
      <w:proofErr w:type="gramEnd"/>
      <w:r w:rsidRPr="008810FE">
        <w:t>(4):365-369.</w:t>
      </w:r>
    </w:p>
    <w:p w:rsidR="00004C2D" w:rsidRPr="008810FE" w:rsidRDefault="00004C2D" w:rsidP="00E2679C">
      <w:pPr>
        <w:pStyle w:val="ListParagraph"/>
        <w:numPr>
          <w:ilvl w:val="0"/>
          <w:numId w:val="23"/>
        </w:numPr>
        <w:ind w:left="360"/>
      </w:pPr>
      <w:proofErr w:type="spellStart"/>
      <w:r w:rsidRPr="008810FE">
        <w:t>Manchikanti</w:t>
      </w:r>
      <w:proofErr w:type="spellEnd"/>
      <w:r w:rsidRPr="008810FE">
        <w:t xml:space="preserve"> L, Rivera JJ, </w:t>
      </w:r>
      <w:proofErr w:type="spellStart"/>
      <w:r w:rsidRPr="008810FE">
        <w:t>Pampati</w:t>
      </w:r>
      <w:proofErr w:type="spellEnd"/>
      <w:r w:rsidRPr="008810FE">
        <w:t xml:space="preserve"> V, et al. One day lumbar epidural </w:t>
      </w:r>
      <w:proofErr w:type="spellStart"/>
      <w:r w:rsidRPr="008810FE">
        <w:t>adhesiolysis</w:t>
      </w:r>
      <w:proofErr w:type="spellEnd"/>
      <w:r w:rsidRPr="008810FE">
        <w:t xml:space="preserve"> and hypertonic saline </w:t>
      </w:r>
      <w:proofErr w:type="spellStart"/>
      <w:r w:rsidRPr="008810FE">
        <w:t>neurolysis</w:t>
      </w:r>
      <w:proofErr w:type="spellEnd"/>
      <w:r w:rsidRPr="008810FE">
        <w:t xml:space="preserve"> in treatment of chronic low back pain: A randomized, double-blind trial. Pain Physician. 2004</w:t>
      </w:r>
      <w:proofErr w:type="gramStart"/>
      <w:r w:rsidRPr="008810FE">
        <w:t>;7</w:t>
      </w:r>
      <w:proofErr w:type="gramEnd"/>
      <w:r w:rsidRPr="008810FE">
        <w:t xml:space="preserve">(2):177-186. </w:t>
      </w:r>
    </w:p>
    <w:p w:rsidR="00004C2D" w:rsidRDefault="00004C2D" w:rsidP="00E2679C">
      <w:pPr>
        <w:pStyle w:val="ListParagraph"/>
        <w:numPr>
          <w:ilvl w:val="0"/>
          <w:numId w:val="23"/>
        </w:numPr>
        <w:ind w:left="360"/>
      </w:pPr>
      <w:proofErr w:type="spellStart"/>
      <w:r w:rsidRPr="008810FE">
        <w:t>Manchikanti</w:t>
      </w:r>
      <w:proofErr w:type="spellEnd"/>
      <w:r w:rsidRPr="008810FE">
        <w:t xml:space="preserve"> L, Singh V, Cash KA, </w:t>
      </w:r>
      <w:proofErr w:type="spellStart"/>
      <w:r w:rsidRPr="008810FE">
        <w:t>Pampati</w:t>
      </w:r>
      <w:proofErr w:type="spellEnd"/>
      <w:r w:rsidRPr="008810FE">
        <w:t xml:space="preserve"> V. Assessment of effectiveness of percutaneous </w:t>
      </w:r>
      <w:proofErr w:type="spellStart"/>
      <w:r w:rsidRPr="008810FE">
        <w:t>adhesiolysis</w:t>
      </w:r>
      <w:proofErr w:type="spellEnd"/>
      <w:r w:rsidRPr="008810FE">
        <w:t xml:space="preserve"> and caudal epidural injections in managing post lumbar surgery syndrome: 2-year follow-up of a randomized, controlled trial. J Pain Res. 2012</w:t>
      </w:r>
      <w:proofErr w:type="gramStart"/>
      <w:r w:rsidRPr="008810FE">
        <w:t>;5:597</w:t>
      </w:r>
      <w:proofErr w:type="gramEnd"/>
      <w:r w:rsidRPr="008810FE">
        <w:t xml:space="preserve">-608. </w:t>
      </w:r>
    </w:p>
    <w:p w:rsidR="00004C2D" w:rsidRPr="00EA6186" w:rsidRDefault="00004C2D" w:rsidP="00AF5623">
      <w:pPr>
        <w:pStyle w:val="ListParagraph"/>
        <w:numPr>
          <w:ilvl w:val="0"/>
          <w:numId w:val="23"/>
        </w:numPr>
        <w:ind w:left="360"/>
      </w:pPr>
      <w:r w:rsidRPr="00EA6186">
        <w:t xml:space="preserve">Richardson J, </w:t>
      </w:r>
      <w:proofErr w:type="spellStart"/>
      <w:r w:rsidRPr="00EA6186">
        <w:t>McGurgan</w:t>
      </w:r>
      <w:proofErr w:type="spellEnd"/>
      <w:r w:rsidRPr="00EA6186">
        <w:t xml:space="preserve"> P, Cheema S, </w:t>
      </w:r>
      <w:r w:rsidR="00781AF1">
        <w:t xml:space="preserve">et al.  </w:t>
      </w:r>
      <w:r w:rsidRPr="00EA6186">
        <w:t xml:space="preserve">Spinal endoscopy in chronic low back pain with radiculopathy. A prospective case series. </w:t>
      </w:r>
      <w:proofErr w:type="spellStart"/>
      <w:r w:rsidRPr="00EA6186">
        <w:t>Anaesthesia</w:t>
      </w:r>
      <w:proofErr w:type="spellEnd"/>
      <w:r w:rsidRPr="00EA6186">
        <w:t>. 2001</w:t>
      </w:r>
      <w:proofErr w:type="gramStart"/>
      <w:r w:rsidRPr="00EA6186">
        <w:t>;56</w:t>
      </w:r>
      <w:proofErr w:type="gramEnd"/>
      <w:r w:rsidRPr="00EA6186">
        <w:t xml:space="preserve">(5):454-460. </w:t>
      </w:r>
    </w:p>
    <w:p w:rsidR="00004C2D" w:rsidRPr="00EA6186" w:rsidRDefault="00004C2D" w:rsidP="00E2679C">
      <w:pPr>
        <w:pStyle w:val="ListParagraph"/>
        <w:numPr>
          <w:ilvl w:val="0"/>
          <w:numId w:val="23"/>
        </w:numPr>
        <w:ind w:left="360"/>
      </w:pPr>
      <w:proofErr w:type="spellStart"/>
      <w:r w:rsidRPr="00EA6186">
        <w:t>Geurts</w:t>
      </w:r>
      <w:proofErr w:type="spellEnd"/>
      <w:r w:rsidRPr="00EA6186">
        <w:t xml:space="preserve"> JW, </w:t>
      </w:r>
      <w:proofErr w:type="spellStart"/>
      <w:r w:rsidRPr="00EA6186">
        <w:t>Kallewaard</w:t>
      </w:r>
      <w:proofErr w:type="spellEnd"/>
      <w:r w:rsidRPr="00EA6186">
        <w:t xml:space="preserve"> JW, Richardson J, </w:t>
      </w:r>
      <w:proofErr w:type="spellStart"/>
      <w:r w:rsidRPr="00EA6186">
        <w:t>Groen</w:t>
      </w:r>
      <w:proofErr w:type="spellEnd"/>
      <w:r w:rsidRPr="00EA6186">
        <w:t xml:space="preserve"> GJ. Targeted methylprednisolone acetate/hyaluronidase/clonidine injection after diagnostic </w:t>
      </w:r>
      <w:proofErr w:type="spellStart"/>
      <w:r w:rsidRPr="00EA6186">
        <w:t>epiduroscopy</w:t>
      </w:r>
      <w:proofErr w:type="spellEnd"/>
      <w:r w:rsidRPr="00EA6186">
        <w:t xml:space="preserve"> for chronic sciatica: a prospective, 1-year follow-up study. </w:t>
      </w:r>
      <w:proofErr w:type="spellStart"/>
      <w:r w:rsidRPr="00EA6186">
        <w:t>Reg</w:t>
      </w:r>
      <w:proofErr w:type="spellEnd"/>
      <w:r w:rsidRPr="00EA6186">
        <w:t xml:space="preserve"> </w:t>
      </w:r>
      <w:proofErr w:type="spellStart"/>
      <w:r w:rsidRPr="00EA6186">
        <w:t>Anesth</w:t>
      </w:r>
      <w:proofErr w:type="spellEnd"/>
      <w:r w:rsidRPr="00EA6186">
        <w:t xml:space="preserve"> Pain Med. 2002</w:t>
      </w:r>
      <w:proofErr w:type="gramStart"/>
      <w:r w:rsidRPr="00EA6186">
        <w:t>;27</w:t>
      </w:r>
      <w:proofErr w:type="gramEnd"/>
      <w:r w:rsidRPr="00EA6186">
        <w:t>(4):343-352.</w:t>
      </w:r>
    </w:p>
    <w:p w:rsidR="00004C2D" w:rsidRDefault="00004C2D" w:rsidP="00E2679C">
      <w:pPr>
        <w:pStyle w:val="ListParagraph"/>
        <w:numPr>
          <w:ilvl w:val="0"/>
          <w:numId w:val="23"/>
        </w:numPr>
        <w:ind w:left="360"/>
      </w:pPr>
      <w:r w:rsidRPr="00EA6186">
        <w:t xml:space="preserve">Donato AD, Fontana C, Pinto R, </w:t>
      </w:r>
      <w:r w:rsidR="00696FC3">
        <w:t xml:space="preserve">et al. </w:t>
      </w:r>
      <w:r w:rsidRPr="00EA6186">
        <w:t xml:space="preserve">The effectiveness of endoscopic </w:t>
      </w:r>
      <w:proofErr w:type="spellStart"/>
      <w:r w:rsidRPr="00EA6186">
        <w:t>epidurolysis</w:t>
      </w:r>
      <w:proofErr w:type="spellEnd"/>
      <w:r w:rsidRPr="00EA6186">
        <w:t xml:space="preserve"> in treatment of degenerative chronic low back pain: a prospective analysis and follow-up at 48 months. </w:t>
      </w:r>
      <w:proofErr w:type="spellStart"/>
      <w:r w:rsidRPr="00EA6186">
        <w:t>Acta</w:t>
      </w:r>
      <w:proofErr w:type="spellEnd"/>
      <w:r w:rsidRPr="00EA6186">
        <w:t xml:space="preserve"> </w:t>
      </w:r>
      <w:proofErr w:type="spellStart"/>
      <w:r w:rsidRPr="00EA6186">
        <w:t>Neurochir</w:t>
      </w:r>
      <w:proofErr w:type="spellEnd"/>
      <w:r w:rsidRPr="00EA6186">
        <w:t xml:space="preserve"> Suppl. 2011</w:t>
      </w:r>
      <w:proofErr w:type="gramStart"/>
      <w:r w:rsidRPr="00EA6186">
        <w:t>;108:67</w:t>
      </w:r>
      <w:proofErr w:type="gramEnd"/>
      <w:r w:rsidRPr="00EA6186">
        <w:t>-73.</w:t>
      </w:r>
    </w:p>
    <w:p w:rsidR="00004C2D" w:rsidRDefault="00004C2D" w:rsidP="00E2679C">
      <w:pPr>
        <w:pStyle w:val="ListParagraph"/>
        <w:numPr>
          <w:ilvl w:val="0"/>
          <w:numId w:val="23"/>
        </w:numPr>
        <w:ind w:left="360"/>
      </w:pPr>
      <w:proofErr w:type="spellStart"/>
      <w:r w:rsidRPr="00A12843">
        <w:lastRenderedPageBreak/>
        <w:t>Manchikanti</w:t>
      </w:r>
      <w:proofErr w:type="spellEnd"/>
      <w:r w:rsidRPr="00A12843">
        <w:t xml:space="preserve"> L, Boswell MV, Rivera JJ, et al. A randomized, controlled trial of spinal endoscopic </w:t>
      </w:r>
      <w:proofErr w:type="spellStart"/>
      <w:r w:rsidRPr="00A12843">
        <w:t>adhesiolysis</w:t>
      </w:r>
      <w:proofErr w:type="spellEnd"/>
      <w:r w:rsidRPr="00A12843">
        <w:t xml:space="preserve"> in chronic refractory low back and lower extremity pain [ISRCTN 16558617]. BMC </w:t>
      </w:r>
      <w:proofErr w:type="spellStart"/>
      <w:r w:rsidRPr="00A12843">
        <w:t>Anesthesiol</w:t>
      </w:r>
      <w:proofErr w:type="spellEnd"/>
      <w:r w:rsidRPr="00A12843">
        <w:t>. 2005</w:t>
      </w:r>
      <w:proofErr w:type="gramStart"/>
      <w:r w:rsidRPr="00A12843">
        <w:t>;5:10</w:t>
      </w:r>
      <w:proofErr w:type="gramEnd"/>
      <w:r>
        <w:t>.</w:t>
      </w:r>
    </w:p>
    <w:p w:rsidR="00004C2D" w:rsidRDefault="00004C2D" w:rsidP="00E2679C">
      <w:pPr>
        <w:pStyle w:val="ListParagraph"/>
        <w:numPr>
          <w:ilvl w:val="0"/>
          <w:numId w:val="23"/>
        </w:numPr>
        <w:ind w:left="360"/>
      </w:pPr>
      <w:r w:rsidRPr="00456D0C">
        <w:t xml:space="preserve">Helm S, Hayek SM, Colson J, </w:t>
      </w:r>
      <w:r w:rsidR="00696FC3">
        <w:t xml:space="preserve">et al.  </w:t>
      </w:r>
      <w:r w:rsidRPr="00456D0C">
        <w:t xml:space="preserve">Spinal endoscopic </w:t>
      </w:r>
      <w:proofErr w:type="spellStart"/>
      <w:r w:rsidRPr="00456D0C">
        <w:t>adhesiolysis</w:t>
      </w:r>
      <w:proofErr w:type="spellEnd"/>
      <w:r w:rsidRPr="00456D0C">
        <w:t xml:space="preserve"> in post lumbar surgery syndrome: an update of assessment of the evidence. Pain Physician. 2013</w:t>
      </w:r>
      <w:proofErr w:type="gramStart"/>
      <w:r w:rsidRPr="00456D0C">
        <w:t>;16</w:t>
      </w:r>
      <w:proofErr w:type="gramEnd"/>
      <w:r w:rsidRPr="00456D0C">
        <w:t xml:space="preserve">(2 </w:t>
      </w:r>
      <w:proofErr w:type="spellStart"/>
      <w:r w:rsidRPr="00456D0C">
        <w:t>Suppl</w:t>
      </w:r>
      <w:proofErr w:type="spellEnd"/>
      <w:r w:rsidRPr="00456D0C">
        <w:t>):SE125-150.</w:t>
      </w:r>
    </w:p>
    <w:p w:rsidR="00004C2D" w:rsidRDefault="00004C2D" w:rsidP="00E2679C">
      <w:pPr>
        <w:pStyle w:val="ListParagraph"/>
        <w:numPr>
          <w:ilvl w:val="0"/>
          <w:numId w:val="23"/>
        </w:numPr>
        <w:ind w:left="360"/>
      </w:pPr>
      <w:proofErr w:type="spellStart"/>
      <w:r w:rsidRPr="00456D0C">
        <w:t>Manchikanti</w:t>
      </w:r>
      <w:proofErr w:type="spellEnd"/>
      <w:r w:rsidRPr="00456D0C">
        <w:t xml:space="preserve"> L, Abdi S, </w:t>
      </w:r>
      <w:proofErr w:type="spellStart"/>
      <w:r w:rsidRPr="00456D0C">
        <w:t>Atluri</w:t>
      </w:r>
      <w:proofErr w:type="spellEnd"/>
      <w:r w:rsidRPr="00456D0C">
        <w:t xml:space="preserve"> S, et al. ASIPP-IPM. An update of comprehensive evidence-based guidelines for interventional techniques in chronic spinal pain. Part II: guidance and recommendations. Pain Physician. 2013</w:t>
      </w:r>
      <w:proofErr w:type="gramStart"/>
      <w:r w:rsidRPr="00456D0C">
        <w:t>;16</w:t>
      </w:r>
      <w:proofErr w:type="gramEnd"/>
      <w:r w:rsidRPr="00456D0C">
        <w:t xml:space="preserve">(2 </w:t>
      </w:r>
      <w:proofErr w:type="spellStart"/>
      <w:r w:rsidRPr="00456D0C">
        <w:t>Suppl</w:t>
      </w:r>
      <w:proofErr w:type="spellEnd"/>
      <w:r w:rsidRPr="00456D0C">
        <w:t>):S49-283.</w:t>
      </w:r>
    </w:p>
    <w:p w:rsidR="00004C2D" w:rsidRDefault="00004C2D" w:rsidP="00E2679C">
      <w:pPr>
        <w:pStyle w:val="Default"/>
        <w:numPr>
          <w:ilvl w:val="0"/>
          <w:numId w:val="23"/>
        </w:numPr>
        <w:ind w:left="360"/>
        <w:rPr>
          <w:rFonts w:ascii="Times New Roman" w:hAnsi="Times New Roman" w:cs="Times New Roman"/>
          <w:color w:val="auto"/>
        </w:rPr>
      </w:pPr>
      <w:r w:rsidRPr="004E306E">
        <w:rPr>
          <w:rFonts w:ascii="Times New Roman" w:hAnsi="Times New Roman" w:cs="Times New Roman"/>
          <w:color w:val="auto"/>
        </w:rPr>
        <w:t>National In</w:t>
      </w:r>
      <w:r>
        <w:rPr>
          <w:rFonts w:ascii="Times New Roman" w:hAnsi="Times New Roman" w:cs="Times New Roman"/>
          <w:color w:val="auto"/>
        </w:rPr>
        <w:t>stitute for Clinical Evidence. Interventional procedure guidance IPG333: Therapeutic e</w:t>
      </w:r>
      <w:r w:rsidRPr="004E306E">
        <w:rPr>
          <w:rFonts w:ascii="Times New Roman" w:hAnsi="Times New Roman" w:cs="Times New Roman"/>
          <w:color w:val="auto"/>
        </w:rPr>
        <w:t xml:space="preserve">ndoscopic division of epidural adhesions. </w:t>
      </w:r>
      <w:r>
        <w:rPr>
          <w:rFonts w:ascii="Times New Roman" w:hAnsi="Times New Roman" w:cs="Times New Roman"/>
          <w:color w:val="auto"/>
        </w:rPr>
        <w:t>February 2010</w:t>
      </w:r>
      <w:r w:rsidRPr="004E306E">
        <w:rPr>
          <w:rFonts w:ascii="Times New Roman" w:hAnsi="Times New Roman" w:cs="Times New Roman"/>
          <w:color w:val="auto"/>
        </w:rPr>
        <w:t xml:space="preserve">. </w:t>
      </w:r>
      <w:r>
        <w:rPr>
          <w:rFonts w:ascii="Times New Roman" w:hAnsi="Times New Roman" w:cs="Times New Roman"/>
          <w:color w:val="auto"/>
        </w:rPr>
        <w:t xml:space="preserve">Accessed </w:t>
      </w:r>
      <w:r w:rsidR="000228D5">
        <w:rPr>
          <w:rFonts w:ascii="Times New Roman" w:hAnsi="Times New Roman" w:cs="Times New Roman"/>
          <w:color w:val="auto"/>
        </w:rPr>
        <w:t>04</w:t>
      </w:r>
      <w:r w:rsidR="00D91E33">
        <w:rPr>
          <w:rFonts w:ascii="Times New Roman" w:hAnsi="Times New Roman" w:cs="Times New Roman"/>
          <w:color w:val="auto"/>
        </w:rPr>
        <w:t>/05</w:t>
      </w:r>
      <w:r w:rsidR="001012C0">
        <w:rPr>
          <w:rFonts w:ascii="Times New Roman" w:hAnsi="Times New Roman" w:cs="Times New Roman"/>
          <w:color w:val="auto"/>
        </w:rPr>
        <w:t>/1</w:t>
      </w:r>
      <w:r w:rsidR="00D91E33">
        <w:rPr>
          <w:rFonts w:ascii="Times New Roman" w:hAnsi="Times New Roman" w:cs="Times New Roman"/>
          <w:color w:val="auto"/>
        </w:rPr>
        <w:t>9</w:t>
      </w:r>
      <w:r w:rsidR="001012C0">
        <w:rPr>
          <w:rFonts w:ascii="Times New Roman" w:hAnsi="Times New Roman" w:cs="Times New Roman"/>
          <w:color w:val="auto"/>
        </w:rPr>
        <w:t>.</w:t>
      </w:r>
    </w:p>
    <w:p w:rsidR="000228D5" w:rsidRDefault="000228D5" w:rsidP="005C39DC">
      <w:pPr>
        <w:pStyle w:val="Default"/>
        <w:numPr>
          <w:ilvl w:val="0"/>
          <w:numId w:val="23"/>
        </w:numPr>
        <w:ind w:left="360"/>
        <w:rPr>
          <w:rFonts w:ascii="Times New Roman" w:hAnsi="Times New Roman" w:cs="Times New Roman"/>
          <w:color w:val="auto"/>
        </w:rPr>
      </w:pPr>
      <w:proofErr w:type="spellStart"/>
      <w:r w:rsidRPr="000228D5">
        <w:rPr>
          <w:rFonts w:ascii="Times New Roman" w:hAnsi="Times New Roman" w:cs="Times New Roman"/>
          <w:color w:val="auto"/>
        </w:rPr>
        <w:t>Rapcan</w:t>
      </w:r>
      <w:proofErr w:type="spellEnd"/>
      <w:r w:rsidRPr="000228D5">
        <w:rPr>
          <w:rFonts w:ascii="Times New Roman" w:hAnsi="Times New Roman" w:cs="Times New Roman"/>
          <w:color w:val="auto"/>
        </w:rPr>
        <w:t xml:space="preserve"> R, </w:t>
      </w:r>
      <w:proofErr w:type="spellStart"/>
      <w:r w:rsidRPr="000228D5">
        <w:rPr>
          <w:rFonts w:ascii="Times New Roman" w:hAnsi="Times New Roman" w:cs="Times New Roman"/>
          <w:color w:val="auto"/>
        </w:rPr>
        <w:t>Kocan</w:t>
      </w:r>
      <w:proofErr w:type="spellEnd"/>
      <w:r w:rsidRPr="000228D5">
        <w:rPr>
          <w:rFonts w:ascii="Times New Roman" w:hAnsi="Times New Roman" w:cs="Times New Roman"/>
          <w:color w:val="auto"/>
        </w:rPr>
        <w:t xml:space="preserve"> L, </w:t>
      </w:r>
      <w:proofErr w:type="spellStart"/>
      <w:r w:rsidRPr="000228D5">
        <w:rPr>
          <w:rFonts w:ascii="Times New Roman" w:hAnsi="Times New Roman" w:cs="Times New Roman"/>
          <w:color w:val="auto"/>
        </w:rPr>
        <w:t>Mláka</w:t>
      </w:r>
      <w:proofErr w:type="spellEnd"/>
      <w:r w:rsidRPr="000228D5">
        <w:rPr>
          <w:rFonts w:ascii="Times New Roman" w:hAnsi="Times New Roman" w:cs="Times New Roman"/>
          <w:color w:val="auto"/>
        </w:rPr>
        <w:t xml:space="preserve"> J,</w:t>
      </w:r>
      <w:r>
        <w:rPr>
          <w:rFonts w:ascii="Times New Roman" w:hAnsi="Times New Roman" w:cs="Times New Roman"/>
          <w:color w:val="auto"/>
        </w:rPr>
        <w:t xml:space="preserve"> et al.  </w:t>
      </w:r>
      <w:r w:rsidRPr="000228D5">
        <w:rPr>
          <w:rFonts w:ascii="Times New Roman" w:hAnsi="Times New Roman" w:cs="Times New Roman"/>
          <w:color w:val="auto"/>
        </w:rPr>
        <w:t xml:space="preserve">A Randomized, Multicenter, Double-Blind, Parallel Pilot Study Assessing the Effect of Mechanical </w:t>
      </w:r>
      <w:proofErr w:type="spellStart"/>
      <w:r w:rsidRPr="000228D5">
        <w:rPr>
          <w:rFonts w:ascii="Times New Roman" w:hAnsi="Times New Roman" w:cs="Times New Roman"/>
          <w:color w:val="auto"/>
        </w:rPr>
        <w:t>Adhesiolysis</w:t>
      </w:r>
      <w:proofErr w:type="spellEnd"/>
      <w:r w:rsidRPr="000228D5">
        <w:rPr>
          <w:rFonts w:ascii="Times New Roman" w:hAnsi="Times New Roman" w:cs="Times New Roman"/>
          <w:color w:val="auto"/>
        </w:rPr>
        <w:t xml:space="preserve"> vs </w:t>
      </w:r>
      <w:proofErr w:type="spellStart"/>
      <w:r w:rsidRPr="000228D5">
        <w:rPr>
          <w:rFonts w:ascii="Times New Roman" w:hAnsi="Times New Roman" w:cs="Times New Roman"/>
          <w:color w:val="auto"/>
        </w:rPr>
        <w:t>Adhesiolysis</w:t>
      </w:r>
      <w:proofErr w:type="spellEnd"/>
      <w:r w:rsidRPr="000228D5">
        <w:rPr>
          <w:rFonts w:ascii="Times New Roman" w:hAnsi="Times New Roman" w:cs="Times New Roman"/>
          <w:color w:val="auto"/>
        </w:rPr>
        <w:t xml:space="preserve"> with Corticosteroid and Hyaluronidase Administration into the Epidural Space </w:t>
      </w:r>
      <w:proofErr w:type="gramStart"/>
      <w:r w:rsidRPr="000228D5">
        <w:rPr>
          <w:rFonts w:ascii="Times New Roman" w:hAnsi="Times New Roman" w:cs="Times New Roman"/>
          <w:color w:val="auto"/>
        </w:rPr>
        <w:t>During</w:t>
      </w:r>
      <w:proofErr w:type="gramEnd"/>
      <w:r w:rsidRPr="000228D5">
        <w:rPr>
          <w:rFonts w:ascii="Times New Roman" w:hAnsi="Times New Roman" w:cs="Times New Roman"/>
          <w:color w:val="auto"/>
        </w:rPr>
        <w:t xml:space="preserve"> </w:t>
      </w:r>
      <w:proofErr w:type="spellStart"/>
      <w:r w:rsidRPr="000228D5">
        <w:rPr>
          <w:rFonts w:ascii="Times New Roman" w:hAnsi="Times New Roman" w:cs="Times New Roman"/>
          <w:color w:val="auto"/>
        </w:rPr>
        <w:t>Epiduroscopy</w:t>
      </w:r>
      <w:proofErr w:type="spellEnd"/>
      <w:r w:rsidRPr="000228D5">
        <w:rPr>
          <w:rFonts w:ascii="Times New Roman" w:hAnsi="Times New Roman" w:cs="Times New Roman"/>
          <w:color w:val="auto"/>
        </w:rPr>
        <w:t>.</w:t>
      </w:r>
      <w:r>
        <w:rPr>
          <w:rFonts w:ascii="Times New Roman" w:hAnsi="Times New Roman" w:cs="Times New Roman"/>
          <w:color w:val="auto"/>
        </w:rPr>
        <w:t xml:space="preserve">  </w:t>
      </w:r>
      <w:r w:rsidRPr="000228D5">
        <w:rPr>
          <w:rFonts w:ascii="Times New Roman" w:hAnsi="Times New Roman" w:cs="Times New Roman"/>
          <w:color w:val="auto"/>
        </w:rPr>
        <w:t xml:space="preserve">Pain Med. 2018 Mar 23. </w:t>
      </w:r>
      <w:proofErr w:type="spellStart"/>
      <w:proofErr w:type="gramStart"/>
      <w:r w:rsidRPr="000228D5">
        <w:rPr>
          <w:rFonts w:ascii="Times New Roman" w:hAnsi="Times New Roman" w:cs="Times New Roman"/>
          <w:color w:val="auto"/>
        </w:rPr>
        <w:t>doi</w:t>
      </w:r>
      <w:proofErr w:type="spellEnd"/>
      <w:proofErr w:type="gramEnd"/>
      <w:r w:rsidRPr="000228D5">
        <w:rPr>
          <w:rFonts w:ascii="Times New Roman" w:hAnsi="Times New Roman" w:cs="Times New Roman"/>
          <w:color w:val="auto"/>
        </w:rPr>
        <w:t xml:space="preserve">: 10.1093/pm/pnx328. </w:t>
      </w:r>
    </w:p>
    <w:p w:rsidR="000228D5" w:rsidRDefault="000228D5" w:rsidP="001E6C1F">
      <w:pPr>
        <w:pStyle w:val="Default"/>
        <w:numPr>
          <w:ilvl w:val="0"/>
          <w:numId w:val="23"/>
        </w:numPr>
        <w:ind w:left="360"/>
        <w:rPr>
          <w:rFonts w:ascii="Times New Roman" w:hAnsi="Times New Roman" w:cs="Times New Roman"/>
          <w:color w:val="auto"/>
        </w:rPr>
      </w:pPr>
      <w:r w:rsidRPr="000228D5">
        <w:rPr>
          <w:rFonts w:ascii="Times New Roman" w:hAnsi="Times New Roman" w:cs="Times New Roman"/>
          <w:color w:val="auto"/>
        </w:rPr>
        <w:t xml:space="preserve">Choi EJ, </w:t>
      </w:r>
      <w:proofErr w:type="spellStart"/>
      <w:r w:rsidRPr="000228D5">
        <w:rPr>
          <w:rFonts w:ascii="Times New Roman" w:hAnsi="Times New Roman" w:cs="Times New Roman"/>
          <w:color w:val="auto"/>
        </w:rPr>
        <w:t>Yoo</w:t>
      </w:r>
      <w:proofErr w:type="spellEnd"/>
      <w:r w:rsidRPr="000228D5">
        <w:rPr>
          <w:rFonts w:ascii="Times New Roman" w:hAnsi="Times New Roman" w:cs="Times New Roman"/>
          <w:color w:val="auto"/>
        </w:rPr>
        <w:t xml:space="preserve"> YJ, Lee PB,</w:t>
      </w:r>
      <w:r w:rsidR="001E6C1F">
        <w:rPr>
          <w:rFonts w:ascii="Times New Roman" w:hAnsi="Times New Roman" w:cs="Times New Roman"/>
          <w:color w:val="auto"/>
        </w:rPr>
        <w:t xml:space="preserve"> et al.  </w:t>
      </w:r>
      <w:r w:rsidR="001E6C1F" w:rsidRPr="001E6C1F">
        <w:rPr>
          <w:rFonts w:ascii="Times New Roman" w:hAnsi="Times New Roman" w:cs="Times New Roman"/>
          <w:color w:val="auto"/>
        </w:rPr>
        <w:t xml:space="preserve">A Retrospective Study to Evaluate the Effect of Concentration of Hypertonic Saline on Efficacy and Safety of Epidural </w:t>
      </w:r>
      <w:proofErr w:type="spellStart"/>
      <w:r w:rsidR="001E6C1F" w:rsidRPr="001E6C1F">
        <w:rPr>
          <w:rFonts w:ascii="Times New Roman" w:hAnsi="Times New Roman" w:cs="Times New Roman"/>
          <w:color w:val="auto"/>
        </w:rPr>
        <w:t>Adhesiolysis</w:t>
      </w:r>
      <w:proofErr w:type="spellEnd"/>
      <w:r w:rsidR="001E6C1F" w:rsidRPr="001E6C1F">
        <w:rPr>
          <w:rFonts w:ascii="Times New Roman" w:hAnsi="Times New Roman" w:cs="Times New Roman"/>
          <w:color w:val="auto"/>
        </w:rPr>
        <w:t>.</w:t>
      </w:r>
      <w:r w:rsidR="001E6C1F">
        <w:rPr>
          <w:rFonts w:ascii="Times New Roman" w:hAnsi="Times New Roman" w:cs="Times New Roman"/>
          <w:color w:val="auto"/>
        </w:rPr>
        <w:t xml:space="preserve">  </w:t>
      </w:r>
      <w:proofErr w:type="spellStart"/>
      <w:r w:rsidR="001E6C1F" w:rsidRPr="001E6C1F">
        <w:rPr>
          <w:rFonts w:ascii="Times New Roman" w:hAnsi="Times New Roman" w:cs="Times New Roman"/>
          <w:color w:val="auto"/>
        </w:rPr>
        <w:t>Anesth</w:t>
      </w:r>
      <w:proofErr w:type="spellEnd"/>
      <w:r w:rsidR="001E6C1F" w:rsidRPr="001E6C1F">
        <w:rPr>
          <w:rFonts w:ascii="Times New Roman" w:hAnsi="Times New Roman" w:cs="Times New Roman"/>
          <w:color w:val="auto"/>
        </w:rPr>
        <w:t xml:space="preserve"> </w:t>
      </w:r>
      <w:proofErr w:type="spellStart"/>
      <w:r w:rsidR="001E6C1F" w:rsidRPr="001E6C1F">
        <w:rPr>
          <w:rFonts w:ascii="Times New Roman" w:hAnsi="Times New Roman" w:cs="Times New Roman"/>
          <w:color w:val="auto"/>
        </w:rPr>
        <w:t>Analg</w:t>
      </w:r>
      <w:proofErr w:type="spellEnd"/>
      <w:r w:rsidR="001E6C1F" w:rsidRPr="001E6C1F">
        <w:rPr>
          <w:rFonts w:ascii="Times New Roman" w:hAnsi="Times New Roman" w:cs="Times New Roman"/>
          <w:color w:val="auto"/>
        </w:rPr>
        <w:t>. 2017 Jun</w:t>
      </w:r>
      <w:proofErr w:type="gramStart"/>
      <w:r w:rsidR="001E6C1F" w:rsidRPr="001E6C1F">
        <w:rPr>
          <w:rFonts w:ascii="Times New Roman" w:hAnsi="Times New Roman" w:cs="Times New Roman"/>
          <w:color w:val="auto"/>
        </w:rPr>
        <w:t>;124</w:t>
      </w:r>
      <w:proofErr w:type="gramEnd"/>
      <w:r w:rsidR="001E6C1F" w:rsidRPr="001E6C1F">
        <w:rPr>
          <w:rFonts w:ascii="Times New Roman" w:hAnsi="Times New Roman" w:cs="Times New Roman"/>
          <w:color w:val="auto"/>
        </w:rPr>
        <w:t xml:space="preserve">(6):2021-2029. </w:t>
      </w:r>
      <w:proofErr w:type="spellStart"/>
      <w:proofErr w:type="gramStart"/>
      <w:r w:rsidR="001E6C1F" w:rsidRPr="001E6C1F">
        <w:rPr>
          <w:rFonts w:ascii="Times New Roman" w:hAnsi="Times New Roman" w:cs="Times New Roman"/>
          <w:color w:val="auto"/>
        </w:rPr>
        <w:t>doi</w:t>
      </w:r>
      <w:proofErr w:type="spellEnd"/>
      <w:proofErr w:type="gramEnd"/>
      <w:r w:rsidR="001E6C1F" w:rsidRPr="001E6C1F">
        <w:rPr>
          <w:rFonts w:ascii="Times New Roman" w:hAnsi="Times New Roman" w:cs="Times New Roman"/>
          <w:color w:val="auto"/>
        </w:rPr>
        <w:t>: 10.1213/ANE.0000000000001925.</w:t>
      </w:r>
    </w:p>
    <w:p w:rsidR="00F54FB6" w:rsidRDefault="00F21D31" w:rsidP="00942A94">
      <w:pPr>
        <w:pStyle w:val="Default"/>
        <w:numPr>
          <w:ilvl w:val="0"/>
          <w:numId w:val="23"/>
        </w:numPr>
        <w:ind w:left="360"/>
        <w:rPr>
          <w:rFonts w:ascii="Times New Roman" w:hAnsi="Times New Roman" w:cs="Times New Roman"/>
          <w:color w:val="auto"/>
        </w:rPr>
      </w:pPr>
      <w:proofErr w:type="spellStart"/>
      <w:r w:rsidRPr="00F21D31">
        <w:rPr>
          <w:rFonts w:ascii="Times New Roman" w:hAnsi="Times New Roman" w:cs="Times New Roman"/>
          <w:color w:val="auto"/>
        </w:rPr>
        <w:t>Tuijp</w:t>
      </w:r>
      <w:proofErr w:type="spellEnd"/>
      <w:r w:rsidRPr="00F21D31">
        <w:rPr>
          <w:rFonts w:ascii="Times New Roman" w:hAnsi="Times New Roman" w:cs="Times New Roman"/>
          <w:color w:val="auto"/>
        </w:rPr>
        <w:t xml:space="preserve"> SJ, Van Zundert J, De </w:t>
      </w:r>
      <w:proofErr w:type="spellStart"/>
      <w:r w:rsidRPr="00F21D31">
        <w:rPr>
          <w:rFonts w:ascii="Times New Roman" w:hAnsi="Times New Roman" w:cs="Times New Roman"/>
          <w:color w:val="auto"/>
        </w:rPr>
        <w:t>Vooght</w:t>
      </w:r>
      <w:proofErr w:type="spellEnd"/>
      <w:r w:rsidRPr="00F21D31">
        <w:rPr>
          <w:rFonts w:ascii="Times New Roman" w:hAnsi="Times New Roman" w:cs="Times New Roman"/>
          <w:color w:val="auto"/>
        </w:rPr>
        <w:t xml:space="preserve"> P,</w:t>
      </w:r>
      <w:r>
        <w:rPr>
          <w:rFonts w:ascii="Times New Roman" w:hAnsi="Times New Roman" w:cs="Times New Roman"/>
          <w:color w:val="auto"/>
        </w:rPr>
        <w:t xml:space="preserve"> et al.  </w:t>
      </w:r>
      <w:r w:rsidRPr="00F21D31">
        <w:rPr>
          <w:rFonts w:ascii="Times New Roman" w:hAnsi="Times New Roman" w:cs="Times New Roman"/>
          <w:color w:val="auto"/>
        </w:rPr>
        <w:t xml:space="preserve">Does the Use of </w:t>
      </w:r>
      <w:proofErr w:type="spellStart"/>
      <w:r w:rsidRPr="00F21D31">
        <w:rPr>
          <w:rFonts w:ascii="Times New Roman" w:hAnsi="Times New Roman" w:cs="Times New Roman"/>
          <w:color w:val="auto"/>
        </w:rPr>
        <w:t>Epiduroscopic</w:t>
      </w:r>
      <w:proofErr w:type="spellEnd"/>
      <w:r w:rsidRPr="00F21D31">
        <w:rPr>
          <w:rFonts w:ascii="Times New Roman" w:hAnsi="Times New Roman" w:cs="Times New Roman"/>
          <w:color w:val="auto"/>
        </w:rPr>
        <w:t xml:space="preserve"> Lysis of Adhesions Reduce the Need for Spinal Cord Stimulation in Failed Back Surgery Syndrome? A Short-Term Pilot Study.</w:t>
      </w:r>
      <w:r>
        <w:rPr>
          <w:rFonts w:ascii="Times New Roman" w:hAnsi="Times New Roman" w:cs="Times New Roman"/>
          <w:color w:val="auto"/>
        </w:rPr>
        <w:t xml:space="preserve">  </w:t>
      </w:r>
      <w:r w:rsidRPr="00F21D31">
        <w:rPr>
          <w:rFonts w:ascii="Times New Roman" w:hAnsi="Times New Roman" w:cs="Times New Roman"/>
          <w:color w:val="auto"/>
        </w:rPr>
        <w:t xml:space="preserve">Pain </w:t>
      </w:r>
      <w:proofErr w:type="spellStart"/>
      <w:r w:rsidRPr="00F21D31">
        <w:rPr>
          <w:rFonts w:ascii="Times New Roman" w:hAnsi="Times New Roman" w:cs="Times New Roman"/>
          <w:color w:val="auto"/>
        </w:rPr>
        <w:t>Pract</w:t>
      </w:r>
      <w:proofErr w:type="spellEnd"/>
      <w:r w:rsidRPr="00F21D31">
        <w:rPr>
          <w:rFonts w:ascii="Times New Roman" w:hAnsi="Times New Roman" w:cs="Times New Roman"/>
          <w:color w:val="auto"/>
        </w:rPr>
        <w:t xml:space="preserve">. 2018 Jan 18. </w:t>
      </w:r>
      <w:proofErr w:type="spellStart"/>
      <w:proofErr w:type="gramStart"/>
      <w:r w:rsidRPr="00F21D31">
        <w:rPr>
          <w:rFonts w:ascii="Times New Roman" w:hAnsi="Times New Roman" w:cs="Times New Roman"/>
          <w:color w:val="auto"/>
        </w:rPr>
        <w:t>doi</w:t>
      </w:r>
      <w:proofErr w:type="spellEnd"/>
      <w:proofErr w:type="gramEnd"/>
      <w:r w:rsidRPr="00F21D31">
        <w:rPr>
          <w:rFonts w:ascii="Times New Roman" w:hAnsi="Times New Roman" w:cs="Times New Roman"/>
          <w:color w:val="auto"/>
        </w:rPr>
        <w:t>: 10.1111/papr.12681</w:t>
      </w:r>
      <w:r w:rsidR="00F54FB6" w:rsidRPr="00F21D31">
        <w:rPr>
          <w:rFonts w:ascii="Times New Roman" w:hAnsi="Times New Roman" w:cs="Times New Roman"/>
          <w:color w:val="auto"/>
        </w:rPr>
        <w:t xml:space="preserve">.  </w:t>
      </w:r>
    </w:p>
    <w:p w:rsidR="007C7596" w:rsidRPr="00F21D31" w:rsidRDefault="007C7596" w:rsidP="00E51E9A">
      <w:pPr>
        <w:pStyle w:val="Default"/>
        <w:numPr>
          <w:ilvl w:val="0"/>
          <w:numId w:val="23"/>
        </w:numPr>
        <w:ind w:left="360"/>
        <w:rPr>
          <w:rFonts w:ascii="Times New Roman" w:hAnsi="Times New Roman" w:cs="Times New Roman"/>
          <w:color w:val="auto"/>
        </w:rPr>
      </w:pPr>
      <w:r>
        <w:rPr>
          <w:rFonts w:ascii="Times New Roman" w:hAnsi="Times New Roman" w:cs="Times New Roman"/>
          <w:color w:val="auto"/>
        </w:rPr>
        <w:t xml:space="preserve">Hayes Medical Technology Directory.  </w:t>
      </w:r>
      <w:r w:rsidRPr="007C7596">
        <w:rPr>
          <w:rFonts w:ascii="Times New Roman" w:hAnsi="Times New Roman" w:cs="Times New Roman"/>
          <w:color w:val="auto"/>
        </w:rPr>
        <w:t xml:space="preserve">Percutaneous Epidural </w:t>
      </w:r>
      <w:proofErr w:type="spellStart"/>
      <w:r w:rsidRPr="007C7596">
        <w:rPr>
          <w:rFonts w:ascii="Times New Roman" w:hAnsi="Times New Roman" w:cs="Times New Roman"/>
          <w:color w:val="auto"/>
        </w:rPr>
        <w:t>Adhesiolysis</w:t>
      </w:r>
      <w:proofErr w:type="spellEnd"/>
      <w:r w:rsidRPr="007C7596">
        <w:rPr>
          <w:rFonts w:ascii="Times New Roman" w:hAnsi="Times New Roman" w:cs="Times New Roman"/>
          <w:color w:val="auto"/>
        </w:rPr>
        <w:t xml:space="preserve"> for Chronic Low Back Pain</w:t>
      </w:r>
      <w:r>
        <w:rPr>
          <w:rFonts w:ascii="Times New Roman" w:hAnsi="Times New Roman" w:cs="Times New Roman"/>
          <w:color w:val="auto"/>
        </w:rPr>
        <w:t>.  Sept. 27, 2018.</w:t>
      </w:r>
    </w:p>
    <w:p w:rsidR="00004C2D" w:rsidRPr="00963062" w:rsidRDefault="00004C2D" w:rsidP="00963062"/>
    <w:p w:rsidR="00004C2D" w:rsidRPr="00BF732B" w:rsidRDefault="00004C2D" w:rsidP="007431FB">
      <w:pPr>
        <w:rPr>
          <w:b/>
          <w:u w:val="single"/>
        </w:rPr>
      </w:pPr>
      <w:bookmarkStart w:id="3" w:name="Important_Reminder"/>
      <w:r w:rsidRPr="00BF732B">
        <w:rPr>
          <w:b/>
          <w:bCs/>
          <w:u w:val="single"/>
        </w:rPr>
        <w:t>Important Reminder</w:t>
      </w:r>
      <w:bookmarkEnd w:id="3"/>
    </w:p>
    <w:p w:rsidR="00004C2D" w:rsidRPr="00BF732B" w:rsidRDefault="00004C2D" w:rsidP="007431FB">
      <w:r w:rsidRPr="00BF732B">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BF732B">
        <w:rPr>
          <w:iCs/>
        </w:rPr>
        <w:t>The Health Plan</w:t>
      </w:r>
      <w:r w:rsidRPr="00BF732B">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rsidR="00004C2D" w:rsidRPr="00BF732B" w:rsidRDefault="00004C2D" w:rsidP="007431FB"/>
    <w:p w:rsidR="00004C2D" w:rsidRPr="00BF732B" w:rsidRDefault="00004C2D" w:rsidP="007431FB">
      <w:r w:rsidRPr="00BF732B">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rsidR="00004C2D" w:rsidRPr="00BF732B" w:rsidRDefault="00004C2D" w:rsidP="007431FB"/>
    <w:p w:rsidR="00004C2D" w:rsidRPr="00BF732B" w:rsidRDefault="00004C2D" w:rsidP="007431FB">
      <w:pPr>
        <w:rPr>
          <w:color w:val="002868"/>
        </w:rPr>
      </w:pPr>
      <w:r w:rsidRPr="00BF732B">
        <w:lastRenderedPageBreak/>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rsidR="00004C2D" w:rsidRPr="00BF732B" w:rsidRDefault="00004C2D" w:rsidP="007431FB"/>
    <w:p w:rsidR="00004C2D" w:rsidRPr="00BF732B" w:rsidRDefault="00004C2D" w:rsidP="007431FB">
      <w:r w:rsidRPr="00BF732B">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rsidR="00004C2D" w:rsidRPr="00BF732B" w:rsidRDefault="00004C2D" w:rsidP="007431FB"/>
    <w:p w:rsidR="00004C2D" w:rsidRPr="00BF732B" w:rsidRDefault="00004C2D" w:rsidP="007431FB">
      <w:r w:rsidRPr="00BF732B">
        <w:t>Providers referred to in this clinical policy are independent contractors who exercise independent judgment and over whom the Health Plan has no control or right of control.  Providers are not agents or employees of the Health Plan.</w:t>
      </w:r>
    </w:p>
    <w:p w:rsidR="00004C2D" w:rsidRPr="00BF732B" w:rsidRDefault="00004C2D" w:rsidP="007431FB"/>
    <w:p w:rsidR="00004C2D" w:rsidRPr="00BF732B" w:rsidRDefault="00004C2D" w:rsidP="007431FB">
      <w:r w:rsidRPr="00BF732B">
        <w:t xml:space="preserve">This clinical policy is the property of </w:t>
      </w:r>
      <w:r w:rsidRPr="00BF732B">
        <w:rPr>
          <w:iCs/>
        </w:rPr>
        <w:t>the Health Plan</w:t>
      </w:r>
      <w:r w:rsidRPr="00BF732B">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rsidR="00004C2D" w:rsidRPr="00BF732B" w:rsidRDefault="00004C2D" w:rsidP="007431FB">
      <w:pPr>
        <w:autoSpaceDE w:val="0"/>
        <w:autoSpaceDN w:val="0"/>
        <w:adjustRightInd w:val="0"/>
        <w:rPr>
          <w:color w:val="000000"/>
        </w:rPr>
      </w:pPr>
    </w:p>
    <w:p w:rsidR="00004C2D" w:rsidRPr="00BF732B" w:rsidRDefault="00004C2D" w:rsidP="007431FB">
      <w:pPr>
        <w:autoSpaceDE w:val="0"/>
        <w:autoSpaceDN w:val="0"/>
        <w:adjustRightInd w:val="0"/>
        <w:rPr>
          <w:color w:val="000000"/>
        </w:rPr>
      </w:pPr>
      <w:r w:rsidRPr="00BF732B">
        <w:rPr>
          <w:b/>
          <w:color w:val="000000"/>
        </w:rPr>
        <w:t>Note: For Medicaid members</w:t>
      </w:r>
      <w:r w:rsidRPr="00BF732B">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rsidR="00004C2D" w:rsidRPr="00BF732B" w:rsidRDefault="00004C2D" w:rsidP="007431FB"/>
    <w:p w:rsidR="00004C2D" w:rsidRPr="00BF732B" w:rsidRDefault="00004C2D" w:rsidP="007431FB">
      <w:pPr>
        <w:autoSpaceDE w:val="0"/>
        <w:autoSpaceDN w:val="0"/>
        <w:adjustRightInd w:val="0"/>
        <w:rPr>
          <w:color w:val="000000"/>
        </w:rPr>
      </w:pPr>
      <w:r w:rsidRPr="00BF732B">
        <w:rPr>
          <w:b/>
          <w:bCs/>
          <w:color w:val="000000"/>
        </w:rPr>
        <w:t xml:space="preserve">Note: For Medicare members, </w:t>
      </w:r>
      <w:r w:rsidRPr="00BF732B">
        <w:rPr>
          <w:color w:val="000000"/>
        </w:rPr>
        <w:t>to ensure consistency with the Medicare National Coverage Determinations (NCD) and Local Coverage Determinations (LCD), all applicable NCDs</w:t>
      </w:r>
      <w:r w:rsidR="002D5028" w:rsidRPr="00BF732B">
        <w:rPr>
          <w:color w:val="000000"/>
        </w:rPr>
        <w:t xml:space="preserve">, </w:t>
      </w:r>
      <w:r w:rsidRPr="00BF732B">
        <w:rPr>
          <w:color w:val="000000"/>
        </w:rPr>
        <w:t>LCDs</w:t>
      </w:r>
      <w:r w:rsidR="00045F3B" w:rsidRPr="00BF732B">
        <w:rPr>
          <w:color w:val="000000"/>
        </w:rPr>
        <w:t>, and Medicare Coverage Articles</w:t>
      </w:r>
      <w:r w:rsidRPr="00BF732B">
        <w:rPr>
          <w:color w:val="000000"/>
        </w:rPr>
        <w:t xml:space="preserve"> should be reviewed </w:t>
      </w:r>
      <w:r w:rsidRPr="00BF732B">
        <w:rPr>
          <w:color w:val="000000"/>
          <w:u w:val="single"/>
        </w:rPr>
        <w:t>prior to</w:t>
      </w:r>
      <w:r w:rsidRPr="00BF732B">
        <w:rPr>
          <w:color w:val="000000"/>
        </w:rPr>
        <w:t xml:space="preserve"> applying the criteria set forth in this clinical policy. Refer to the CMS website at </w:t>
      </w:r>
      <w:hyperlink r:id="rId14" w:history="1">
        <w:r w:rsidRPr="00BF732B">
          <w:rPr>
            <w:color w:val="000000"/>
            <w:u w:val="single"/>
          </w:rPr>
          <w:t>http://www.cms.gov</w:t>
        </w:r>
      </w:hyperlink>
      <w:r w:rsidRPr="00BF732B">
        <w:rPr>
          <w:color w:val="000000"/>
        </w:rPr>
        <w:t xml:space="preserve"> for additional information. </w:t>
      </w:r>
    </w:p>
    <w:p w:rsidR="00004C2D" w:rsidRPr="00BF732B" w:rsidRDefault="00004C2D" w:rsidP="007431FB">
      <w:pPr>
        <w:rPr>
          <w:iCs/>
        </w:rPr>
      </w:pPr>
    </w:p>
    <w:p w:rsidR="00004C2D" w:rsidRPr="00BF732B" w:rsidRDefault="00004C2D" w:rsidP="007431FB">
      <w:pPr>
        <w:rPr>
          <w:iCs/>
        </w:rPr>
      </w:pPr>
      <w:r w:rsidRPr="00BF732B">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BF732B">
        <w:rPr>
          <w:iCs/>
          <w:vertAlign w:val="superscript"/>
        </w:rPr>
        <w:t>®</w:t>
      </w:r>
      <w:r w:rsidRPr="00BF732B">
        <w:rPr>
          <w:iCs/>
        </w:rPr>
        <w:t xml:space="preserve"> and Centene Corporation</w:t>
      </w:r>
      <w:r w:rsidRPr="00BF732B">
        <w:rPr>
          <w:iCs/>
          <w:vertAlign w:val="superscript"/>
        </w:rPr>
        <w:t>®</w:t>
      </w:r>
      <w:r w:rsidRPr="00BF732B">
        <w:rPr>
          <w:iCs/>
        </w:rPr>
        <w:t xml:space="preserve"> are registered trademarks exclusively owned by Centene Corporation.</w:t>
      </w:r>
    </w:p>
    <w:p w:rsidR="00004C2D" w:rsidRDefault="00004C2D" w:rsidP="00AF5490"/>
    <w:sectPr w:rsidR="00004C2D"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936" w:rsidRDefault="00130936">
      <w:r>
        <w:separator/>
      </w:r>
    </w:p>
  </w:endnote>
  <w:endnote w:type="continuationSeparator" w:id="0">
    <w:p w:rsidR="00130936" w:rsidRDefault="00130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2D" w:rsidRPr="00D574CA" w:rsidRDefault="00004C2D" w:rsidP="00D574CA">
    <w:pPr>
      <w:pStyle w:val="Footer"/>
      <w:jc w:val="center"/>
    </w:pPr>
    <w:r>
      <w:t xml:space="preserve">Page </w:t>
    </w:r>
    <w:r>
      <w:rPr>
        <w:b/>
        <w:bCs/>
      </w:rPr>
      <w:fldChar w:fldCharType="begin"/>
    </w:r>
    <w:r>
      <w:rPr>
        <w:b/>
        <w:bCs/>
      </w:rPr>
      <w:instrText xml:space="preserve"> PAGE </w:instrText>
    </w:r>
    <w:r>
      <w:rPr>
        <w:b/>
        <w:bCs/>
      </w:rPr>
      <w:fldChar w:fldCharType="separate"/>
    </w:r>
    <w:r w:rsidR="00487926">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487926">
      <w:rPr>
        <w:b/>
        <w:bCs/>
        <w:noProof/>
      </w:rPr>
      <w:t>5</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2D" w:rsidRDefault="00004C2D" w:rsidP="002C6AAB">
    <w:pPr>
      <w:pStyle w:val="Footer"/>
      <w:jc w:val="center"/>
    </w:pPr>
    <w:r>
      <w:t xml:space="preserve">Page </w:t>
    </w:r>
    <w:r w:rsidR="00832385">
      <w:fldChar w:fldCharType="begin"/>
    </w:r>
    <w:r w:rsidR="00832385">
      <w:instrText xml:space="preserve"> PAGE   \* MERGEFORMAT </w:instrText>
    </w:r>
    <w:r w:rsidR="00832385">
      <w:fldChar w:fldCharType="separate"/>
    </w:r>
    <w:r w:rsidR="00487926">
      <w:rPr>
        <w:noProof/>
      </w:rPr>
      <w:t>1</w:t>
    </w:r>
    <w:r w:rsidR="00832385">
      <w:rPr>
        <w:noProof/>
      </w:rPr>
      <w:fldChar w:fldCharType="end"/>
    </w:r>
    <w:r>
      <w:t xml:space="preserve"> of </w:t>
    </w:r>
    <w:r w:rsidR="008E7BB0">
      <w:rPr>
        <w:noProof/>
      </w:rPr>
      <w:fldChar w:fldCharType="begin"/>
    </w:r>
    <w:r w:rsidR="008E7BB0">
      <w:rPr>
        <w:noProof/>
      </w:rPr>
      <w:instrText xml:space="preserve"> NUMPAGES   \* MERGEFORMAT </w:instrText>
    </w:r>
    <w:r w:rsidR="008E7BB0">
      <w:rPr>
        <w:noProof/>
      </w:rPr>
      <w:fldChar w:fldCharType="separate"/>
    </w:r>
    <w:r w:rsidR="00487926">
      <w:rPr>
        <w:noProof/>
      </w:rPr>
      <w:t>5</w:t>
    </w:r>
    <w:r w:rsidR="008E7B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936" w:rsidRDefault="00130936">
      <w:r>
        <w:separator/>
      </w:r>
    </w:p>
  </w:footnote>
  <w:footnote w:type="continuationSeparator" w:id="0">
    <w:p w:rsidR="00130936" w:rsidRDefault="00130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2D" w:rsidRPr="00B777AF" w:rsidRDefault="00004C2D"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9E189A">
      <w:rPr>
        <w:noProof/>
        <w:color w:val="00548C"/>
      </w:rPr>
      <w:drawing>
        <wp:inline distT="0" distB="0" distL="0" distR="0" wp14:anchorId="1D3F7B42">
          <wp:extent cx="904875" cy="238125"/>
          <wp:effectExtent l="0" t="0" r="9525" b="9525"/>
          <wp:docPr id="7" name="Picture 7"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rsidR="00004C2D" w:rsidRPr="00B777AF" w:rsidRDefault="00004C2D" w:rsidP="00B777AF">
    <w:pPr>
      <w:rPr>
        <w:color w:val="00548C"/>
      </w:rPr>
    </w:pPr>
    <w:r>
      <w:rPr>
        <w:rFonts w:ascii="Times New Roman Bold" w:hAnsi="Times New Roman Bold"/>
        <w:b/>
        <w:bCs/>
        <w:color w:val="00548C"/>
      </w:rPr>
      <w:t>Lysis of Epidural Lesions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C2D" w:rsidRDefault="009E189A" w:rsidP="00B777AF">
    <w:pPr>
      <w:pStyle w:val="Header"/>
      <w:jc w:val="right"/>
    </w:pPr>
    <w:r>
      <w:rPr>
        <w:noProof/>
      </w:rPr>
      <w:drawing>
        <wp:inline distT="0" distB="0" distL="0" distR="0" wp14:anchorId="2768604E">
          <wp:extent cx="1362075" cy="342900"/>
          <wp:effectExtent l="0" t="0" r="9525" b="0"/>
          <wp:docPr id="8" name="Picture 8"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E24"/>
    <w:multiLevelType w:val="hybridMultilevel"/>
    <w:tmpl w:val="8D48805A"/>
    <w:lvl w:ilvl="0" w:tplc="90BE30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225B96"/>
    <w:multiLevelType w:val="hybridMultilevel"/>
    <w:tmpl w:val="47BA0342"/>
    <w:lvl w:ilvl="0" w:tplc="68E0D2B4">
      <w:start w:val="1"/>
      <w:numFmt w:val="upperRoman"/>
      <w:lvlText w:val="%1."/>
      <w:lvlJc w:val="left"/>
      <w:pPr>
        <w:ind w:left="1080" w:hanging="720"/>
      </w:pPr>
      <w:rPr>
        <w:rFonts w:cs="Times New Roman" w:hint="default"/>
        <w:b/>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3"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A41E35"/>
    <w:multiLevelType w:val="hybridMultilevel"/>
    <w:tmpl w:val="292836F6"/>
    <w:lvl w:ilvl="0" w:tplc="8ADA6946">
      <w:start w:val="2"/>
      <w:numFmt w:val="upperRoman"/>
      <w:lvlText w:val="%1."/>
      <w:lvlJc w:val="left"/>
      <w:pPr>
        <w:ind w:left="1080" w:hanging="72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7D1E3D0A"/>
    <w:multiLevelType w:val="hybridMultilevel"/>
    <w:tmpl w:val="861A07C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
  </w:num>
  <w:num w:numId="3">
    <w:abstractNumId w:val="9"/>
  </w:num>
  <w:num w:numId="4">
    <w:abstractNumId w:val="12"/>
  </w:num>
  <w:num w:numId="5">
    <w:abstractNumId w:val="13"/>
  </w:num>
  <w:num w:numId="6">
    <w:abstractNumId w:val="18"/>
  </w:num>
  <w:num w:numId="7">
    <w:abstractNumId w:val="19"/>
  </w:num>
  <w:num w:numId="8">
    <w:abstractNumId w:val="3"/>
  </w:num>
  <w:num w:numId="9">
    <w:abstractNumId w:val="16"/>
  </w:num>
  <w:num w:numId="10">
    <w:abstractNumId w:val="7"/>
  </w:num>
  <w:num w:numId="11">
    <w:abstractNumId w:val="21"/>
  </w:num>
  <w:num w:numId="12">
    <w:abstractNumId w:val="11"/>
  </w:num>
  <w:num w:numId="13">
    <w:abstractNumId w:val="10"/>
  </w:num>
  <w:num w:numId="14">
    <w:abstractNumId w:val="5"/>
  </w:num>
  <w:num w:numId="15">
    <w:abstractNumId w:val="8"/>
  </w:num>
  <w:num w:numId="16">
    <w:abstractNumId w:val="20"/>
  </w:num>
  <w:num w:numId="17">
    <w:abstractNumId w:val="17"/>
  </w:num>
  <w:num w:numId="18">
    <w:abstractNumId w:val="14"/>
  </w:num>
  <w:num w:numId="19">
    <w:abstractNumId w:val="6"/>
  </w:num>
  <w:num w:numId="20">
    <w:abstractNumId w:val="4"/>
  </w:num>
  <w:num w:numId="21">
    <w:abstractNumId w:val="15"/>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4C2D"/>
    <w:rsid w:val="000228D5"/>
    <w:rsid w:val="00032D3F"/>
    <w:rsid w:val="00045F3B"/>
    <w:rsid w:val="000465DE"/>
    <w:rsid w:val="0004733E"/>
    <w:rsid w:val="00060509"/>
    <w:rsid w:val="00082F89"/>
    <w:rsid w:val="00083740"/>
    <w:rsid w:val="00094136"/>
    <w:rsid w:val="000F10C2"/>
    <w:rsid w:val="001012C0"/>
    <w:rsid w:val="001148A8"/>
    <w:rsid w:val="00130936"/>
    <w:rsid w:val="0013380E"/>
    <w:rsid w:val="0014316D"/>
    <w:rsid w:val="00153CBB"/>
    <w:rsid w:val="00165E50"/>
    <w:rsid w:val="00170B14"/>
    <w:rsid w:val="001818D7"/>
    <w:rsid w:val="00185104"/>
    <w:rsid w:val="001962BE"/>
    <w:rsid w:val="00196689"/>
    <w:rsid w:val="00196935"/>
    <w:rsid w:val="0019746F"/>
    <w:rsid w:val="001D0D34"/>
    <w:rsid w:val="001D70D4"/>
    <w:rsid w:val="001E6C1F"/>
    <w:rsid w:val="001E7D12"/>
    <w:rsid w:val="0020675F"/>
    <w:rsid w:val="00220736"/>
    <w:rsid w:val="00230FE4"/>
    <w:rsid w:val="00233651"/>
    <w:rsid w:val="002473F9"/>
    <w:rsid w:val="00254020"/>
    <w:rsid w:val="0025452A"/>
    <w:rsid w:val="00283672"/>
    <w:rsid w:val="00285997"/>
    <w:rsid w:val="002A39EE"/>
    <w:rsid w:val="002B0582"/>
    <w:rsid w:val="002C6AAB"/>
    <w:rsid w:val="002C6AFD"/>
    <w:rsid w:val="002D019A"/>
    <w:rsid w:val="002D5028"/>
    <w:rsid w:val="002E48E7"/>
    <w:rsid w:val="003140D6"/>
    <w:rsid w:val="00325099"/>
    <w:rsid w:val="00336E37"/>
    <w:rsid w:val="00350F22"/>
    <w:rsid w:val="003840CC"/>
    <w:rsid w:val="0039338A"/>
    <w:rsid w:val="003D6568"/>
    <w:rsid w:val="003D7BE7"/>
    <w:rsid w:val="003F3D44"/>
    <w:rsid w:val="00415EA3"/>
    <w:rsid w:val="00456D0C"/>
    <w:rsid w:val="00472C6C"/>
    <w:rsid w:val="00480C09"/>
    <w:rsid w:val="00487926"/>
    <w:rsid w:val="00493710"/>
    <w:rsid w:val="00496BCF"/>
    <w:rsid w:val="00497AED"/>
    <w:rsid w:val="004C38B0"/>
    <w:rsid w:val="004E0B99"/>
    <w:rsid w:val="004E306E"/>
    <w:rsid w:val="004F6394"/>
    <w:rsid w:val="00505830"/>
    <w:rsid w:val="00507DC0"/>
    <w:rsid w:val="005103B8"/>
    <w:rsid w:val="005144C0"/>
    <w:rsid w:val="005423D4"/>
    <w:rsid w:val="005537B0"/>
    <w:rsid w:val="0056049F"/>
    <w:rsid w:val="005776FD"/>
    <w:rsid w:val="00583376"/>
    <w:rsid w:val="005B70EC"/>
    <w:rsid w:val="005C17DF"/>
    <w:rsid w:val="005C3607"/>
    <w:rsid w:val="005C39DC"/>
    <w:rsid w:val="005D009F"/>
    <w:rsid w:val="005D21EB"/>
    <w:rsid w:val="005D5146"/>
    <w:rsid w:val="005D7B81"/>
    <w:rsid w:val="005E117C"/>
    <w:rsid w:val="005E411E"/>
    <w:rsid w:val="00600FD9"/>
    <w:rsid w:val="00602176"/>
    <w:rsid w:val="00625BB3"/>
    <w:rsid w:val="006348DB"/>
    <w:rsid w:val="006474BB"/>
    <w:rsid w:val="006664E9"/>
    <w:rsid w:val="00673270"/>
    <w:rsid w:val="00696FC3"/>
    <w:rsid w:val="006A7845"/>
    <w:rsid w:val="006C22A0"/>
    <w:rsid w:val="006C74DF"/>
    <w:rsid w:val="006D1D83"/>
    <w:rsid w:val="006E52C7"/>
    <w:rsid w:val="006F4D70"/>
    <w:rsid w:val="007431FB"/>
    <w:rsid w:val="00744250"/>
    <w:rsid w:val="00770B65"/>
    <w:rsid w:val="00775635"/>
    <w:rsid w:val="007764CE"/>
    <w:rsid w:val="00781AF1"/>
    <w:rsid w:val="007A0BCC"/>
    <w:rsid w:val="007B07AE"/>
    <w:rsid w:val="007B50D0"/>
    <w:rsid w:val="007B5968"/>
    <w:rsid w:val="007C7596"/>
    <w:rsid w:val="007D4801"/>
    <w:rsid w:val="007F1F19"/>
    <w:rsid w:val="00832385"/>
    <w:rsid w:val="00857C10"/>
    <w:rsid w:val="00875924"/>
    <w:rsid w:val="00877EC7"/>
    <w:rsid w:val="008810FE"/>
    <w:rsid w:val="00896E94"/>
    <w:rsid w:val="008A72AE"/>
    <w:rsid w:val="008B0705"/>
    <w:rsid w:val="008B2E73"/>
    <w:rsid w:val="008C6B3A"/>
    <w:rsid w:val="008C7B3A"/>
    <w:rsid w:val="008E7BB0"/>
    <w:rsid w:val="008F42A8"/>
    <w:rsid w:val="00902C9B"/>
    <w:rsid w:val="009135E0"/>
    <w:rsid w:val="00915CA4"/>
    <w:rsid w:val="00942A94"/>
    <w:rsid w:val="00950820"/>
    <w:rsid w:val="00961071"/>
    <w:rsid w:val="00963062"/>
    <w:rsid w:val="009735FA"/>
    <w:rsid w:val="00977ECA"/>
    <w:rsid w:val="00982180"/>
    <w:rsid w:val="009928B2"/>
    <w:rsid w:val="009A3F4A"/>
    <w:rsid w:val="009C61B2"/>
    <w:rsid w:val="009D5928"/>
    <w:rsid w:val="009E189A"/>
    <w:rsid w:val="009E6F29"/>
    <w:rsid w:val="00A12843"/>
    <w:rsid w:val="00A20F73"/>
    <w:rsid w:val="00A41969"/>
    <w:rsid w:val="00A60413"/>
    <w:rsid w:val="00A747B6"/>
    <w:rsid w:val="00A83658"/>
    <w:rsid w:val="00A85489"/>
    <w:rsid w:val="00A87B1F"/>
    <w:rsid w:val="00AA336E"/>
    <w:rsid w:val="00AA428E"/>
    <w:rsid w:val="00AB62E3"/>
    <w:rsid w:val="00AD1AA6"/>
    <w:rsid w:val="00AF1F2A"/>
    <w:rsid w:val="00AF30EF"/>
    <w:rsid w:val="00AF5490"/>
    <w:rsid w:val="00AF5623"/>
    <w:rsid w:val="00B14A25"/>
    <w:rsid w:val="00B4633B"/>
    <w:rsid w:val="00B62BE1"/>
    <w:rsid w:val="00B777AF"/>
    <w:rsid w:val="00B81789"/>
    <w:rsid w:val="00B81DB7"/>
    <w:rsid w:val="00B92DF1"/>
    <w:rsid w:val="00BC0F22"/>
    <w:rsid w:val="00BC5505"/>
    <w:rsid w:val="00BF4150"/>
    <w:rsid w:val="00BF732B"/>
    <w:rsid w:val="00C01AA6"/>
    <w:rsid w:val="00C06257"/>
    <w:rsid w:val="00C079B0"/>
    <w:rsid w:val="00C10DF0"/>
    <w:rsid w:val="00C14250"/>
    <w:rsid w:val="00C2297C"/>
    <w:rsid w:val="00C64BB4"/>
    <w:rsid w:val="00C73CF5"/>
    <w:rsid w:val="00C75BD4"/>
    <w:rsid w:val="00C96847"/>
    <w:rsid w:val="00CA53B9"/>
    <w:rsid w:val="00CA5C08"/>
    <w:rsid w:val="00CF2624"/>
    <w:rsid w:val="00D173FE"/>
    <w:rsid w:val="00D36448"/>
    <w:rsid w:val="00D522A6"/>
    <w:rsid w:val="00D574CA"/>
    <w:rsid w:val="00D71BC4"/>
    <w:rsid w:val="00D91E33"/>
    <w:rsid w:val="00DB1DE9"/>
    <w:rsid w:val="00DB7073"/>
    <w:rsid w:val="00DD025A"/>
    <w:rsid w:val="00DD6ADB"/>
    <w:rsid w:val="00DD7D7A"/>
    <w:rsid w:val="00DE18E2"/>
    <w:rsid w:val="00DE303D"/>
    <w:rsid w:val="00DF2DA8"/>
    <w:rsid w:val="00E2679C"/>
    <w:rsid w:val="00E51E9A"/>
    <w:rsid w:val="00E7516C"/>
    <w:rsid w:val="00E77D8B"/>
    <w:rsid w:val="00E97C17"/>
    <w:rsid w:val="00EA3809"/>
    <w:rsid w:val="00EA6186"/>
    <w:rsid w:val="00ED0A0D"/>
    <w:rsid w:val="00EF3690"/>
    <w:rsid w:val="00F01E28"/>
    <w:rsid w:val="00F03DC0"/>
    <w:rsid w:val="00F05EB7"/>
    <w:rsid w:val="00F21D31"/>
    <w:rsid w:val="00F2705D"/>
    <w:rsid w:val="00F422E1"/>
    <w:rsid w:val="00F54FB6"/>
    <w:rsid w:val="00F67BBD"/>
    <w:rsid w:val="00F71F8E"/>
    <w:rsid w:val="00F74762"/>
    <w:rsid w:val="00F91367"/>
    <w:rsid w:val="00F95133"/>
    <w:rsid w:val="00FB0592"/>
    <w:rsid w:val="00FB139B"/>
    <w:rsid w:val="00FB44B3"/>
    <w:rsid w:val="00FB454C"/>
    <w:rsid w:val="00FE290A"/>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5:docId w15:val="{833A996A-0235-4840-919A-2004231B8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E28"/>
    <w:rPr>
      <w:sz w:val="24"/>
      <w:szCs w:val="24"/>
    </w:rPr>
  </w:style>
  <w:style w:type="paragraph" w:styleId="Heading1">
    <w:name w:val="heading 1"/>
    <w:basedOn w:val="Normal"/>
    <w:next w:val="Normal"/>
    <w:link w:val="Heading1Char"/>
    <w:uiPriority w:val="99"/>
    <w:qFormat/>
    <w:rsid w:val="00F01E28"/>
    <w:pPr>
      <w:keepNext/>
      <w:outlineLvl w:val="0"/>
    </w:pPr>
    <w:rPr>
      <w:b/>
      <w:bCs/>
      <w:sz w:val="20"/>
      <w:szCs w:val="12"/>
    </w:rPr>
  </w:style>
  <w:style w:type="paragraph" w:styleId="Heading2">
    <w:name w:val="heading 2"/>
    <w:basedOn w:val="Normal"/>
    <w:next w:val="Normal"/>
    <w:link w:val="Heading2Char"/>
    <w:uiPriority w:val="99"/>
    <w:qFormat/>
    <w:rsid w:val="00F01E28"/>
    <w:pPr>
      <w:keepNext/>
      <w:outlineLvl w:val="1"/>
    </w:pPr>
    <w:rPr>
      <w:b/>
      <w:bCs/>
      <w:u w:val="single"/>
    </w:rPr>
  </w:style>
  <w:style w:type="paragraph" w:styleId="Heading3">
    <w:name w:val="heading 3"/>
    <w:basedOn w:val="Normal"/>
    <w:next w:val="Normal"/>
    <w:link w:val="Heading3Char"/>
    <w:uiPriority w:val="99"/>
    <w:qFormat/>
    <w:rsid w:val="00F01E28"/>
    <w:pPr>
      <w:keepNext/>
      <w:outlineLvl w:val="2"/>
    </w:pPr>
    <w:rPr>
      <w:b/>
      <w:bCs/>
    </w:rPr>
  </w:style>
  <w:style w:type="paragraph" w:styleId="Heading4">
    <w:name w:val="heading 4"/>
    <w:basedOn w:val="Normal"/>
    <w:next w:val="Normal"/>
    <w:link w:val="Heading4Char"/>
    <w:uiPriority w:val="99"/>
    <w:qFormat/>
    <w:rsid w:val="00F01E28"/>
    <w:pPr>
      <w:keepNext/>
      <w:jc w:val="center"/>
      <w:outlineLvl w:val="3"/>
    </w:pPr>
    <w:rPr>
      <w:b/>
      <w:bCs/>
    </w:rPr>
  </w:style>
  <w:style w:type="paragraph" w:styleId="Heading5">
    <w:name w:val="heading 5"/>
    <w:basedOn w:val="Normal"/>
    <w:next w:val="Normal"/>
    <w:link w:val="Heading5Char"/>
    <w:uiPriority w:val="99"/>
    <w:qFormat/>
    <w:rsid w:val="00F01E28"/>
    <w:pPr>
      <w:keepNext/>
      <w:outlineLvl w:val="4"/>
    </w:pPr>
    <w:rPr>
      <w:b/>
      <w:szCs w:val="20"/>
    </w:rPr>
  </w:style>
  <w:style w:type="paragraph" w:styleId="Heading6">
    <w:name w:val="heading 6"/>
    <w:basedOn w:val="Normal"/>
    <w:next w:val="Normal"/>
    <w:link w:val="Heading6Char"/>
    <w:uiPriority w:val="99"/>
    <w:qFormat/>
    <w:rsid w:val="00F01E28"/>
    <w:pPr>
      <w:keepNext/>
      <w:tabs>
        <w:tab w:val="num" w:pos="0"/>
      </w:tabs>
      <w:jc w:val="center"/>
      <w:outlineLvl w:val="5"/>
    </w:pPr>
    <w:rPr>
      <w:b/>
      <w:szCs w:val="20"/>
    </w:rPr>
  </w:style>
  <w:style w:type="paragraph" w:styleId="Heading7">
    <w:name w:val="heading 7"/>
    <w:basedOn w:val="Normal"/>
    <w:next w:val="Normal"/>
    <w:link w:val="Heading7Char"/>
    <w:uiPriority w:val="99"/>
    <w:qFormat/>
    <w:rsid w:val="00F01E28"/>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EA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72EA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72EA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D72EA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D72EA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D72EA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D72EAA"/>
    <w:rPr>
      <w:rFonts w:asciiTheme="minorHAnsi" w:eastAsiaTheme="minorEastAsia" w:hAnsiTheme="minorHAnsi" w:cstheme="minorBidi"/>
      <w:sz w:val="24"/>
      <w:szCs w:val="24"/>
    </w:rPr>
  </w:style>
  <w:style w:type="paragraph" w:styleId="Header">
    <w:name w:val="header"/>
    <w:basedOn w:val="Normal"/>
    <w:link w:val="HeaderChar"/>
    <w:uiPriority w:val="99"/>
    <w:rsid w:val="00F01E28"/>
    <w:pPr>
      <w:tabs>
        <w:tab w:val="center" w:pos="4320"/>
        <w:tab w:val="right" w:pos="8640"/>
      </w:tabs>
    </w:pPr>
  </w:style>
  <w:style w:type="character" w:customStyle="1" w:styleId="HeaderChar">
    <w:name w:val="Header Char"/>
    <w:basedOn w:val="DefaultParagraphFont"/>
    <w:link w:val="Header"/>
    <w:uiPriority w:val="99"/>
    <w:semiHidden/>
    <w:rsid w:val="00D72EAA"/>
    <w:rPr>
      <w:sz w:val="24"/>
      <w:szCs w:val="24"/>
    </w:rPr>
  </w:style>
  <w:style w:type="paragraph" w:styleId="Footer">
    <w:name w:val="footer"/>
    <w:basedOn w:val="Normal"/>
    <w:link w:val="FooterChar"/>
    <w:uiPriority w:val="99"/>
    <w:rsid w:val="00F01E28"/>
    <w:pPr>
      <w:tabs>
        <w:tab w:val="center" w:pos="4320"/>
        <w:tab w:val="right" w:pos="8640"/>
      </w:tabs>
    </w:pPr>
  </w:style>
  <w:style w:type="character" w:customStyle="1" w:styleId="FooterChar">
    <w:name w:val="Footer Char"/>
    <w:basedOn w:val="DefaultParagraphFont"/>
    <w:link w:val="Footer"/>
    <w:uiPriority w:val="99"/>
    <w:locked/>
    <w:rsid w:val="00D574CA"/>
    <w:rPr>
      <w:sz w:val="24"/>
    </w:rPr>
  </w:style>
  <w:style w:type="paragraph" w:styleId="Title">
    <w:name w:val="Title"/>
    <w:basedOn w:val="Normal"/>
    <w:link w:val="TitleChar"/>
    <w:uiPriority w:val="99"/>
    <w:qFormat/>
    <w:rsid w:val="00F01E28"/>
    <w:pPr>
      <w:jc w:val="center"/>
    </w:pPr>
    <w:rPr>
      <w:b/>
      <w:bCs/>
      <w:szCs w:val="20"/>
    </w:rPr>
  </w:style>
  <w:style w:type="character" w:customStyle="1" w:styleId="TitleChar">
    <w:name w:val="Title Char"/>
    <w:basedOn w:val="DefaultParagraphFont"/>
    <w:link w:val="Title"/>
    <w:uiPriority w:val="10"/>
    <w:rsid w:val="00D72EAA"/>
    <w:rPr>
      <w:rFonts w:asciiTheme="majorHAnsi" w:eastAsiaTheme="majorEastAsia" w:hAnsiTheme="majorHAnsi" w:cstheme="majorBidi"/>
      <w:b/>
      <w:bCs/>
      <w:kern w:val="28"/>
      <w:sz w:val="32"/>
      <w:szCs w:val="32"/>
    </w:rPr>
  </w:style>
  <w:style w:type="character" w:customStyle="1" w:styleId="EmailStyle20">
    <w:name w:val="EmailStyle20"/>
    <w:uiPriority w:val="99"/>
    <w:rsid w:val="00F01E28"/>
    <w:rPr>
      <w:rFonts w:ascii="Arial" w:hAnsi="Arial"/>
      <w:color w:val="000000"/>
      <w:sz w:val="20"/>
    </w:rPr>
  </w:style>
  <w:style w:type="paragraph" w:styleId="NormalWeb">
    <w:name w:val="Normal (Web)"/>
    <w:basedOn w:val="Normal"/>
    <w:uiPriority w:val="99"/>
    <w:rsid w:val="00F01E28"/>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F01E28"/>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rsid w:val="00D72EAA"/>
    <w:rPr>
      <w:sz w:val="0"/>
      <w:szCs w:val="0"/>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99"/>
    <w:qFormat/>
    <w:rsid w:val="00D522A6"/>
    <w:pPr>
      <w:ind w:left="720"/>
      <w:contextualSpacing/>
    </w:pPr>
  </w:style>
  <w:style w:type="paragraph" w:customStyle="1" w:styleId="Default">
    <w:name w:val="Default"/>
    <w:uiPriority w:val="99"/>
    <w:rsid w:val="00DF2DA8"/>
    <w:pPr>
      <w:autoSpaceDE w:val="0"/>
      <w:autoSpaceDN w:val="0"/>
      <w:adjustRightInd w:val="0"/>
    </w:pPr>
    <w:rPr>
      <w:rFonts w:ascii="Verdana" w:hAnsi="Verdana" w:cs="Verdana"/>
      <w:color w:val="000000"/>
      <w:sz w:val="24"/>
      <w:szCs w:val="24"/>
    </w:rPr>
  </w:style>
  <w:style w:type="character" w:customStyle="1" w:styleId="htbreferencefont">
    <w:name w:val="htbreferencefont"/>
    <w:basedOn w:val="DefaultParagraphFont"/>
    <w:uiPriority w:val="99"/>
    <w:rsid w:val="004C38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879178">
      <w:marLeft w:val="0"/>
      <w:marRight w:val="0"/>
      <w:marTop w:val="0"/>
      <w:marBottom w:val="0"/>
      <w:divBdr>
        <w:top w:val="none" w:sz="0" w:space="0" w:color="auto"/>
        <w:left w:val="none" w:sz="0" w:space="0" w:color="auto"/>
        <w:bottom w:val="none" w:sz="0" w:space="0" w:color="auto"/>
        <w:right w:val="none" w:sz="0" w:space="0" w:color="auto"/>
      </w:divBdr>
    </w:div>
    <w:div w:id="1746879180">
      <w:marLeft w:val="0"/>
      <w:marRight w:val="0"/>
      <w:marTop w:val="0"/>
      <w:marBottom w:val="0"/>
      <w:divBdr>
        <w:top w:val="none" w:sz="0" w:space="0" w:color="auto"/>
        <w:left w:val="none" w:sz="0" w:space="0" w:color="auto"/>
        <w:bottom w:val="none" w:sz="0" w:space="0" w:color="auto"/>
        <w:right w:val="none" w:sz="0" w:space="0" w:color="auto"/>
      </w:divBdr>
      <w:divsChild>
        <w:div w:id="1746879179">
          <w:marLeft w:val="0"/>
          <w:marRight w:val="0"/>
          <w:marTop w:val="0"/>
          <w:marBottom w:val="0"/>
          <w:divBdr>
            <w:top w:val="none" w:sz="0" w:space="0" w:color="auto"/>
            <w:left w:val="none" w:sz="0" w:space="0" w:color="auto"/>
            <w:bottom w:val="none" w:sz="0" w:space="0" w:color="auto"/>
            <w:right w:val="none" w:sz="0" w:space="0" w:color="auto"/>
          </w:divBdr>
        </w:div>
        <w:div w:id="1746879182">
          <w:marLeft w:val="0"/>
          <w:marRight w:val="0"/>
          <w:marTop w:val="0"/>
          <w:marBottom w:val="0"/>
          <w:divBdr>
            <w:top w:val="none" w:sz="0" w:space="0" w:color="auto"/>
            <w:left w:val="none" w:sz="0" w:space="0" w:color="auto"/>
            <w:bottom w:val="none" w:sz="0" w:space="0" w:color="auto"/>
            <w:right w:val="none" w:sz="0" w:space="0" w:color="auto"/>
          </w:divBdr>
        </w:div>
      </w:divsChild>
    </w:div>
    <w:div w:id="17468791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m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15DBC-62CB-4A9C-872B-0F809E16217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992C1C77-BBFE-4E31-B1F8-5F83D0A390AD}">
  <ds:schemaRefs>
    <ds:schemaRef ds:uri="http://schemas.microsoft.com/sharepoint/v3/contenttype/forms"/>
  </ds:schemaRefs>
</ds:datastoreItem>
</file>

<file path=customXml/itemProps3.xml><?xml version="1.0" encoding="utf-8"?>
<ds:datastoreItem xmlns:ds="http://schemas.openxmlformats.org/officeDocument/2006/customXml" ds:itemID="{ADE24651-AB90-4A7C-8A48-1D24C3F9E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2143</Words>
  <Characters>13404</Characters>
  <Application>Microsoft Office Word</Application>
  <DocSecurity>0</DocSecurity>
  <Lines>235</Lines>
  <Paragraphs>74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Emily C. Mahan</cp:lastModifiedBy>
  <cp:revision>2</cp:revision>
  <cp:lastPrinted>2015-06-25T20:16:00Z</cp:lastPrinted>
  <dcterms:created xsi:type="dcterms:W3CDTF">2019-05-22T19:03:00Z</dcterms:created>
  <dcterms:modified xsi:type="dcterms:W3CDTF">2019-05-22T19:03:00Z</dcterms:modified>
</cp:coreProperties>
</file>