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AC" w:rsidRPr="0071064A" w:rsidRDefault="00A70E13" w:rsidP="00D574CA">
      <w:pPr>
        <w:pStyle w:val="PolicyMainHead"/>
        <w:tabs>
          <w:tab w:val="left" w:pos="360"/>
        </w:tabs>
        <w:spacing w:after="0" w:line="240" w:lineRule="auto"/>
        <w:rPr>
          <w:rFonts w:ascii="Times New Roman" w:hAnsi="Times New Roman"/>
          <w:color w:val="00548C"/>
          <w:sz w:val="36"/>
        </w:rPr>
        <w:sectPr w:rsidR="002258AC" w:rsidRPr="0071064A" w:rsidSect="00B777AF">
          <w:headerReference w:type="default" r:id="rId8"/>
          <w:footerReference w:type="default" r:id="rId9"/>
          <w:headerReference w:type="first" r:id="rId10"/>
          <w:footerReference w:type="first" r:id="rId11"/>
          <w:pgSz w:w="12240" w:h="15840" w:code="1"/>
          <w:pgMar w:top="1440" w:right="907" w:bottom="1152" w:left="1440" w:header="576" w:footer="288" w:gutter="0"/>
          <w:cols w:space="720"/>
          <w:titlePg/>
          <w:docGrid w:linePitch="360"/>
        </w:sectPr>
      </w:pPr>
      <w:r w:rsidRPr="0044693C">
        <w:rPr>
          <w:rFonts w:ascii="Times New Roman" w:hAnsi="Times New Roman"/>
          <w:color w:val="00548C"/>
          <w:sz w:val="36"/>
        </w:rPr>
        <w:t>Payment</w:t>
      </w:r>
      <w:r w:rsidR="00230FE4" w:rsidRPr="0044693C">
        <w:rPr>
          <w:rFonts w:ascii="Times New Roman" w:hAnsi="Times New Roman"/>
          <w:color w:val="00548C"/>
          <w:sz w:val="36"/>
        </w:rPr>
        <w:t xml:space="preserve"> Policy: </w:t>
      </w:r>
      <w:r w:rsidR="00A20F7C">
        <w:rPr>
          <w:rFonts w:ascii="Times New Roman" w:hAnsi="Times New Roman"/>
          <w:color w:val="00548C"/>
          <w:sz w:val="36"/>
        </w:rPr>
        <w:t>Behavioral Health Services for Children with Severe Traum</w:t>
      </w:r>
      <w:r w:rsidR="00D437A2">
        <w:rPr>
          <w:rFonts w:ascii="Times New Roman" w:hAnsi="Times New Roman"/>
          <w:color w:val="00548C"/>
          <w:sz w:val="36"/>
        </w:rPr>
        <w:t>a</w:t>
      </w:r>
    </w:p>
    <w:p w:rsidR="00A70E13" w:rsidRPr="0044693C" w:rsidRDefault="00702F65" w:rsidP="00480C09">
      <w:pPr>
        <w:pStyle w:val="PolicyMainHead"/>
        <w:spacing w:after="0" w:line="240" w:lineRule="auto"/>
        <w:ind w:left="360"/>
        <w:rPr>
          <w:rFonts w:ascii="Times New Roman" w:hAnsi="Times New Roman"/>
          <w:color w:val="00548C"/>
          <w:sz w:val="24"/>
          <w:szCs w:val="24"/>
        </w:rPr>
      </w:pPr>
      <w:r>
        <w:rPr>
          <w:rFonts w:ascii="Times New Roman" w:hAnsi="Times New Roman"/>
          <w:color w:val="00548C"/>
          <w:sz w:val="24"/>
          <w:szCs w:val="24"/>
        </w:rPr>
        <w:t xml:space="preserve">Reference Number: </w:t>
      </w:r>
      <w:r w:rsidR="001A32D3">
        <w:rPr>
          <w:rFonts w:ascii="Times New Roman" w:hAnsi="Times New Roman"/>
          <w:color w:val="00548C"/>
          <w:sz w:val="24"/>
          <w:szCs w:val="24"/>
        </w:rPr>
        <w:t>MO.PP.801</w:t>
      </w:r>
    </w:p>
    <w:p w:rsidR="00B777AF" w:rsidRPr="0044693C" w:rsidRDefault="00B777AF" w:rsidP="00480C09">
      <w:pPr>
        <w:pStyle w:val="PolicyMainHead"/>
        <w:spacing w:after="0" w:line="240" w:lineRule="auto"/>
        <w:ind w:left="360"/>
        <w:rPr>
          <w:rFonts w:ascii="Times New Roman" w:hAnsi="Times New Roman"/>
          <w:color w:val="00548C"/>
          <w:sz w:val="24"/>
          <w:szCs w:val="24"/>
        </w:rPr>
        <w:sectPr w:rsidR="00B777AF" w:rsidRPr="0044693C" w:rsidSect="00480C09">
          <w:type w:val="continuous"/>
          <w:pgSz w:w="12240" w:h="15840" w:code="1"/>
          <w:pgMar w:top="1440" w:right="1080" w:bottom="1440" w:left="1080" w:header="576" w:footer="288" w:gutter="0"/>
          <w:cols w:num="2" w:space="720"/>
          <w:titlePg/>
          <w:docGrid w:linePitch="360"/>
        </w:sectPr>
      </w:pP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r w:rsidRPr="0044693C">
        <w:rPr>
          <w:rFonts w:ascii="Times New Roman" w:hAnsi="Times New Roman"/>
          <w:color w:val="00548C"/>
          <w:sz w:val="24"/>
          <w:szCs w:val="24"/>
        </w:rPr>
        <w:tab/>
      </w:r>
    </w:p>
    <w:p w:rsidR="00A70E13" w:rsidRPr="0044693C" w:rsidRDefault="00A70E13" w:rsidP="00D574CA">
      <w:pPr>
        <w:pStyle w:val="PolicyMainHead"/>
        <w:tabs>
          <w:tab w:val="left" w:pos="360"/>
        </w:tabs>
        <w:spacing w:after="0" w:line="240" w:lineRule="auto"/>
        <w:rPr>
          <w:rFonts w:ascii="Times New Roman" w:hAnsi="Times New Roman"/>
          <w:color w:val="00548C"/>
          <w:sz w:val="24"/>
          <w:szCs w:val="24"/>
        </w:rPr>
      </w:pPr>
      <w:r w:rsidRPr="0044693C">
        <w:rPr>
          <w:rFonts w:ascii="Times New Roman" w:hAnsi="Times New Roman"/>
          <w:color w:val="00548C"/>
          <w:sz w:val="24"/>
          <w:szCs w:val="24"/>
        </w:rPr>
        <w:t xml:space="preserve">Product Types: </w:t>
      </w:r>
      <w:r w:rsidR="00A20F7C">
        <w:rPr>
          <w:rFonts w:ascii="Times New Roman" w:hAnsi="Times New Roman"/>
          <w:color w:val="00548C"/>
          <w:sz w:val="24"/>
          <w:szCs w:val="24"/>
        </w:rPr>
        <w:t>Medicaid</w:t>
      </w:r>
    </w:p>
    <w:p w:rsidR="00480C09" w:rsidRPr="0044693C" w:rsidRDefault="00470EBE" w:rsidP="00480C09">
      <w:pPr>
        <w:pStyle w:val="PolicyMainHead"/>
        <w:tabs>
          <w:tab w:val="left" w:pos="360"/>
        </w:tabs>
        <w:spacing w:after="0" w:line="240" w:lineRule="auto"/>
        <w:jc w:val="right"/>
        <w:rPr>
          <w:rFonts w:ascii="Times New Roman" w:hAnsi="Times New Roman"/>
          <w:color w:val="00548C"/>
          <w:sz w:val="24"/>
          <w:szCs w:val="24"/>
        </w:rPr>
        <w:sectPr w:rsidR="00480C09" w:rsidRPr="0044693C" w:rsidSect="00480C09">
          <w:type w:val="continuous"/>
          <w:pgSz w:w="12240" w:h="15840" w:code="1"/>
          <w:pgMar w:top="1440" w:right="1170" w:bottom="1152" w:left="1440" w:header="576" w:footer="288" w:gutter="0"/>
          <w:cols w:num="2" w:space="720"/>
          <w:titlePg/>
          <w:docGrid w:linePitch="360"/>
        </w:sectPr>
      </w:pPr>
      <w:hyperlink w:anchor="Coding_and_Modifier_Info" w:history="1">
        <w:r w:rsidR="007B50D0" w:rsidRPr="0044693C">
          <w:rPr>
            <w:rStyle w:val="Hyperlink"/>
            <w:rFonts w:ascii="Times New Roman" w:hAnsi="Times New Roman"/>
            <w:sz w:val="24"/>
            <w:szCs w:val="24"/>
          </w:rPr>
          <w:t>Coding Implications</w:t>
        </w:r>
      </w:hyperlink>
      <w:r w:rsidR="007B50D0" w:rsidRPr="0044693C">
        <w:rPr>
          <w:rFonts w:ascii="Times New Roman" w:hAnsi="Times New Roman"/>
          <w:color w:val="00548C"/>
          <w:sz w:val="24"/>
          <w:szCs w:val="24"/>
        </w:rPr>
        <w:t xml:space="preserve"> </w:t>
      </w:r>
    </w:p>
    <w:p w:rsidR="00875924" w:rsidRPr="0044693C" w:rsidRDefault="00D574CA" w:rsidP="00D574CA">
      <w:pPr>
        <w:pStyle w:val="PolicyMainHead"/>
        <w:tabs>
          <w:tab w:val="left" w:pos="360"/>
        </w:tabs>
        <w:spacing w:after="0" w:line="240" w:lineRule="auto"/>
        <w:rPr>
          <w:rFonts w:ascii="Times New Roman" w:hAnsi="Times New Roman"/>
          <w:color w:val="00548C"/>
          <w:sz w:val="24"/>
          <w:szCs w:val="24"/>
        </w:rPr>
      </w:pPr>
      <w:r w:rsidRPr="0044693C">
        <w:rPr>
          <w:rFonts w:ascii="Times New Roman" w:hAnsi="Times New Roman"/>
          <w:color w:val="00548C"/>
          <w:sz w:val="24"/>
          <w:szCs w:val="24"/>
        </w:rPr>
        <w:t xml:space="preserve">Last Review Date: </w:t>
      </w:r>
      <w:r w:rsidR="00074EB8">
        <w:rPr>
          <w:rFonts w:ascii="Times New Roman" w:hAnsi="Times New Roman"/>
          <w:color w:val="00548C"/>
          <w:sz w:val="24"/>
          <w:szCs w:val="24"/>
        </w:rPr>
        <w:t>6-22</w:t>
      </w:r>
      <w:r w:rsidR="00A20F7C">
        <w:rPr>
          <w:rFonts w:ascii="Times New Roman" w:hAnsi="Times New Roman"/>
          <w:color w:val="00548C"/>
          <w:sz w:val="24"/>
          <w:szCs w:val="24"/>
        </w:rPr>
        <w:t>-2020</w:t>
      </w:r>
    </w:p>
    <w:p w:rsidR="00875924" w:rsidRPr="00983688" w:rsidRDefault="00470EBE" w:rsidP="00875924">
      <w:pPr>
        <w:pStyle w:val="PolicyMainHead"/>
        <w:tabs>
          <w:tab w:val="left" w:pos="360"/>
        </w:tabs>
        <w:spacing w:after="0" w:line="240" w:lineRule="auto"/>
        <w:jc w:val="right"/>
        <w:rPr>
          <w:rStyle w:val="Strong"/>
          <w:rFonts w:ascii="Times New Roman" w:hAnsi="Times New Roman"/>
          <w:b w:val="0"/>
          <w:bCs w:val="0"/>
          <w:sz w:val="24"/>
          <w:szCs w:val="24"/>
          <w:u w:val="single"/>
        </w:rPr>
        <w:sectPr w:rsidR="00875924" w:rsidRPr="00983688"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44693C">
          <w:rPr>
            <w:rStyle w:val="Hyperlink"/>
            <w:rFonts w:ascii="Times New Roman" w:hAnsi="Times New Roman"/>
            <w:sz w:val="24"/>
            <w:szCs w:val="24"/>
          </w:rPr>
          <w:t>Revision Log</w:t>
        </w:r>
      </w:hyperlink>
      <w:r w:rsidR="00875924" w:rsidRPr="0044693C">
        <w:rPr>
          <w:rFonts w:ascii="Times New Roman" w:hAnsi="Times New Roman"/>
          <w:color w:val="00548C"/>
          <w:sz w:val="24"/>
          <w:szCs w:val="24"/>
        </w:rPr>
        <w:t xml:space="preserve"> </w:t>
      </w:r>
    </w:p>
    <w:p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rsidR="00A70E13" w:rsidRPr="00983688" w:rsidRDefault="00A70E13" w:rsidP="00983688">
      <w:pPr>
        <w:pStyle w:val="Heading2"/>
      </w:pPr>
      <w:r w:rsidRPr="00983688">
        <w:rPr>
          <w:u w:val="none"/>
        </w:rPr>
        <w:t>Policy Overview</w:t>
      </w:r>
    </w:p>
    <w:p w:rsidR="00CB00C2" w:rsidRDefault="00CB00C2" w:rsidP="008C6C44">
      <w:r>
        <w:t>This policy is e</w:t>
      </w:r>
      <w:r w:rsidR="008C6C44" w:rsidRPr="008C6C44">
        <w:t>ffective with July 1, 2020 dates</w:t>
      </w:r>
      <w:r>
        <w:t xml:space="preserve"> of service.</w:t>
      </w:r>
    </w:p>
    <w:p w:rsidR="00CB00C2" w:rsidRDefault="00CB00C2" w:rsidP="008C6C44"/>
    <w:p w:rsidR="008C6C44" w:rsidRDefault="008C6C44" w:rsidP="008C6C44">
      <w:r>
        <w:t>MO HealthNet Division (MHD) behavioral health</w:t>
      </w:r>
      <w:r w:rsidR="00CC0C7E">
        <w:t xml:space="preserve"> fee schedule</w:t>
      </w:r>
      <w:r w:rsidR="00CB00C2">
        <w:t xml:space="preserve"> includes </w:t>
      </w:r>
      <w:r>
        <w:t xml:space="preserve">procedure codes for individual, family, and group therapy </w:t>
      </w:r>
      <w:r w:rsidR="00CB00C2">
        <w:t xml:space="preserve">that are subject to alternative reimbursement when a practitioner bills </w:t>
      </w:r>
      <w:r w:rsidRPr="00CB00C2">
        <w:rPr>
          <w:b/>
        </w:rPr>
        <w:t>with an HK modifier</w:t>
      </w:r>
      <w:r w:rsidR="00CB00C2">
        <w:rPr>
          <w:b/>
        </w:rPr>
        <w:t xml:space="preserve">. </w:t>
      </w:r>
      <w:r w:rsidR="00CB00C2" w:rsidRPr="00CB00C2">
        <w:t>This change provides</w:t>
      </w:r>
      <w:r>
        <w:t xml:space="preserve"> enhanced reimbursement to practitioners who are </w:t>
      </w:r>
      <w:r>
        <w:rPr>
          <w:b/>
          <w:bCs/>
        </w:rPr>
        <w:t>certified</w:t>
      </w:r>
      <w:r>
        <w:t xml:space="preserve"> in specific evidence-based practices (dialectical behavior therapy, trauma-focused CBT, EMDR) for services provided to </w:t>
      </w:r>
      <w:r>
        <w:rPr>
          <w:b/>
          <w:bCs/>
        </w:rPr>
        <w:t>children who have experience</w:t>
      </w:r>
      <w:r w:rsidR="00470EBE">
        <w:rPr>
          <w:b/>
          <w:bCs/>
        </w:rPr>
        <w:t>d</w:t>
      </w:r>
      <w:r>
        <w:rPr>
          <w:b/>
          <w:bCs/>
        </w:rPr>
        <w:t xml:space="preserve"> severe trauma</w:t>
      </w:r>
      <w:r>
        <w:t xml:space="preserve">. </w:t>
      </w:r>
      <w:bookmarkStart w:id="0" w:name="_GoBack"/>
      <w:bookmarkEnd w:id="0"/>
    </w:p>
    <w:p w:rsidR="008C6C44" w:rsidRDefault="008C6C44" w:rsidP="008C6C44"/>
    <w:p w:rsidR="008C6C44" w:rsidRDefault="00D437A2" w:rsidP="008C6C44">
      <w:pPr>
        <w:rPr>
          <w:sz w:val="22"/>
          <w:szCs w:val="22"/>
        </w:rPr>
      </w:pPr>
      <w:r>
        <w:t>P</w:t>
      </w:r>
      <w:r w:rsidR="008C6C44">
        <w:t xml:space="preserve">rovider certifications: </w:t>
      </w:r>
    </w:p>
    <w:p w:rsidR="008C6C44" w:rsidRDefault="008C6C44" w:rsidP="008C6C44"/>
    <w:p w:rsidR="008C6C44" w:rsidRDefault="008C6C44" w:rsidP="008C6C44">
      <w:pPr>
        <w:pStyle w:val="ListParagraph"/>
        <w:numPr>
          <w:ilvl w:val="0"/>
          <w:numId w:val="31"/>
        </w:numPr>
        <w:contextualSpacing w:val="0"/>
      </w:pPr>
      <w:r>
        <w:t>DBT-Linehan Board of Certification (</w:t>
      </w:r>
      <w:hyperlink r:id="rId12" w:history="1">
        <w:r>
          <w:rPr>
            <w:rStyle w:val="Hyperlink"/>
          </w:rPr>
          <w:t>https://dbt-lbc.org/</w:t>
        </w:r>
      </w:hyperlink>
      <w:r>
        <w:t>) or DBTmo certification (</w:t>
      </w:r>
      <w:hyperlink r:id="rId13" w:history="1">
        <w:r>
          <w:rPr>
            <w:rStyle w:val="Hyperlink"/>
          </w:rPr>
          <w:t>http://www.dbtmo.org/dbtmo1.0/</w:t>
        </w:r>
      </w:hyperlink>
      <w:r>
        <w:t>);</w:t>
      </w:r>
    </w:p>
    <w:p w:rsidR="008C6C44" w:rsidRDefault="008C6C44" w:rsidP="008C6C44">
      <w:pPr>
        <w:pStyle w:val="ListParagraph"/>
        <w:numPr>
          <w:ilvl w:val="0"/>
          <w:numId w:val="32"/>
        </w:numPr>
        <w:contextualSpacing w:val="0"/>
      </w:pPr>
      <w:r>
        <w:t>Missouri Academy of Child Trauma Studies (MOACTS) roster (</w:t>
      </w:r>
      <w:hyperlink r:id="rId14" w:history="1">
        <w:r>
          <w:rPr>
            <w:rStyle w:val="Hyperlink"/>
          </w:rPr>
          <w:t>https://www.moacts.org/</w:t>
        </w:r>
      </w:hyperlink>
      <w:r>
        <w:t>) or TF-CBT National Therapist Certification Program (</w:t>
      </w:r>
      <w:hyperlink r:id="rId15" w:history="1">
        <w:r>
          <w:rPr>
            <w:rStyle w:val="Hyperlink"/>
          </w:rPr>
          <w:t>https://tfcbt.org/members/</w:t>
        </w:r>
      </w:hyperlink>
      <w:r>
        <w:t>);</w:t>
      </w:r>
    </w:p>
    <w:p w:rsidR="008C6C44" w:rsidRDefault="008C6C44" w:rsidP="008C6C44">
      <w:pPr>
        <w:pStyle w:val="ListParagraph"/>
        <w:numPr>
          <w:ilvl w:val="0"/>
          <w:numId w:val="33"/>
        </w:numPr>
        <w:contextualSpacing w:val="0"/>
      </w:pPr>
      <w:r>
        <w:lastRenderedPageBreak/>
        <w:t>Certification in EMDR by the EMDR International Association (</w:t>
      </w:r>
      <w:hyperlink r:id="rId16" w:history="1">
        <w:r>
          <w:rPr>
            <w:rStyle w:val="Hyperlink"/>
          </w:rPr>
          <w:t>http://emdria.site-ym.com/</w:t>
        </w:r>
      </w:hyperlink>
      <w:r>
        <w:t xml:space="preserve">); or </w:t>
      </w:r>
      <w:r>
        <w:sym w:font="Calibri" w:char="F0B7"/>
      </w:r>
      <w:r>
        <w:t xml:space="preserve"> TF-CBT National Therapist Certification Program (</w:t>
      </w:r>
      <w:hyperlink r:id="rId17" w:history="1">
        <w:r>
          <w:rPr>
            <w:rStyle w:val="Hyperlink"/>
          </w:rPr>
          <w:t>https://tfcbt.org/members/</w:t>
        </w:r>
      </w:hyperlink>
      <w:r>
        <w:t>).</w:t>
      </w:r>
    </w:p>
    <w:p w:rsidR="00D437A2" w:rsidRDefault="00D437A2" w:rsidP="00D437A2">
      <w:pPr>
        <w:pStyle w:val="Default"/>
        <w:ind w:left="720"/>
      </w:pPr>
    </w:p>
    <w:p w:rsidR="00D437A2" w:rsidRDefault="00D437A2" w:rsidP="00D437A2">
      <w:pPr>
        <w:pStyle w:val="Default"/>
        <w:rPr>
          <w:sz w:val="23"/>
          <w:szCs w:val="23"/>
        </w:rPr>
      </w:pPr>
      <w:r>
        <w:rPr>
          <w:b/>
          <w:bCs/>
          <w:sz w:val="23"/>
          <w:szCs w:val="23"/>
        </w:rPr>
        <w:t xml:space="preserve">Member Criteria </w:t>
      </w:r>
    </w:p>
    <w:p w:rsidR="00D437A2" w:rsidRDefault="00D437A2" w:rsidP="00D437A2">
      <w:pPr>
        <w:pStyle w:val="ListParagraph"/>
        <w:numPr>
          <w:ilvl w:val="0"/>
          <w:numId w:val="33"/>
        </w:numPr>
      </w:pPr>
      <w:r w:rsidRPr="00D437A2">
        <w:rPr>
          <w:sz w:val="23"/>
          <w:szCs w:val="23"/>
        </w:rPr>
        <w:t xml:space="preserve">Eligible </w:t>
      </w:r>
      <w:r>
        <w:rPr>
          <w:sz w:val="23"/>
          <w:szCs w:val="23"/>
        </w:rPr>
        <w:t>Members</w:t>
      </w:r>
      <w:r w:rsidRPr="00D437A2">
        <w:rPr>
          <w:sz w:val="23"/>
          <w:szCs w:val="23"/>
        </w:rPr>
        <w:t xml:space="preserve"> are MO HealthNet) individuals under age 21 who have experienced severe physical, sexual, or emotional trauma as a result of abuse or neglect.</w:t>
      </w:r>
    </w:p>
    <w:p w:rsidR="008C6C44" w:rsidRDefault="008C6C44" w:rsidP="008C6C44"/>
    <w:p w:rsidR="008C6C44" w:rsidRDefault="008C6C44" w:rsidP="008C6C44">
      <w:r>
        <w:t>Home State Health complies with this MHD requirement.</w:t>
      </w:r>
    </w:p>
    <w:p w:rsidR="008C6C44" w:rsidRDefault="008C6C44" w:rsidP="008C6C44"/>
    <w:p w:rsidR="003E3075" w:rsidRDefault="00A70E13" w:rsidP="003E3075">
      <w:pPr>
        <w:rPr>
          <w:b/>
          <w:bCs/>
        </w:rPr>
      </w:pPr>
      <w:r w:rsidRPr="003E3075">
        <w:rPr>
          <w:b/>
          <w:bCs/>
        </w:rPr>
        <w:t>Application</w:t>
      </w:r>
    </w:p>
    <w:p w:rsidR="00A20F7C" w:rsidRDefault="00A20F7C" w:rsidP="003E3075">
      <w:pPr>
        <w:rPr>
          <w:b/>
          <w:bCs/>
        </w:rPr>
      </w:pPr>
    </w:p>
    <w:p w:rsidR="00A20F7C" w:rsidRDefault="00A20F7C" w:rsidP="003E3075">
      <w:r>
        <w:t xml:space="preserve">Home State Health limits payment of the enhanced rate to claims that include the -HK modifier from appropriately certified </w:t>
      </w:r>
      <w:r w:rsidR="00CC0C7E">
        <w:t xml:space="preserve">participating </w:t>
      </w:r>
      <w:r w:rsidR="00623C5A">
        <w:t>practitioners.</w:t>
      </w:r>
    </w:p>
    <w:p w:rsidR="00D437A2" w:rsidRDefault="00D437A2" w:rsidP="003E3075"/>
    <w:p w:rsidR="00D437A2" w:rsidRDefault="00D437A2" w:rsidP="003E3075">
      <w:r>
        <w:t xml:space="preserve">Payment </w:t>
      </w:r>
      <w:r w:rsidR="00CC0C7E">
        <w:t xml:space="preserve">of the enhanced rate </w:t>
      </w:r>
      <w:r w:rsidR="003A56DA">
        <w:t>is</w:t>
      </w:r>
      <w:r w:rsidR="00CC0C7E">
        <w:t xml:space="preserve"> subject to pa</w:t>
      </w:r>
      <w:r w:rsidR="003A56DA">
        <w:t>yment of the underlying service</w:t>
      </w:r>
      <w:r w:rsidR="00CC0C7E">
        <w:t>. NOT</w:t>
      </w:r>
      <w:r w:rsidR="003A56DA">
        <w:t>E</w:t>
      </w:r>
      <w:r w:rsidR="00CC0C7E">
        <w:t xml:space="preserve">: </w:t>
      </w:r>
      <w:r>
        <w:t>if the underlying service is subject to prior authorization</w:t>
      </w:r>
      <w:r w:rsidR="00CC0C7E">
        <w:t>, no payment will be made if authorization is not obtained prior to provision of the service</w:t>
      </w:r>
      <w:r>
        <w:t xml:space="preserve">. </w:t>
      </w:r>
    </w:p>
    <w:p w:rsidR="00740E24" w:rsidRDefault="00740E24" w:rsidP="003E3075"/>
    <w:p w:rsidR="00740E24" w:rsidRPr="008C6C44" w:rsidRDefault="00740E24" w:rsidP="003E3075">
      <w:pPr>
        <w:rPr>
          <w:sz w:val="22"/>
          <w:szCs w:val="22"/>
        </w:rPr>
      </w:pPr>
      <w:r>
        <w:t xml:space="preserve">All claims payments are subject </w:t>
      </w:r>
      <w:r w:rsidR="00A43024">
        <w:t>to retrospective review. If it is</w:t>
      </w:r>
      <w:r>
        <w:t xml:space="preserve"> determined that providers are not certified on the date of service, payment will be recouped. </w:t>
      </w:r>
    </w:p>
    <w:p w:rsidR="007F4210" w:rsidRDefault="007F4210" w:rsidP="003E3075">
      <w:pPr>
        <w:rPr>
          <w:b/>
          <w:bCs/>
        </w:rPr>
      </w:pPr>
    </w:p>
    <w:p w:rsidR="00A70E13" w:rsidRDefault="00A70E13" w:rsidP="00A70E13">
      <w:pPr>
        <w:rPr>
          <w:b/>
          <w:bCs/>
        </w:rPr>
      </w:pPr>
      <w:r w:rsidRPr="00983688">
        <w:rPr>
          <w:b/>
          <w:bCs/>
        </w:rPr>
        <w:t xml:space="preserve">Reimbursement </w:t>
      </w:r>
    </w:p>
    <w:p w:rsidR="00BC2161" w:rsidRPr="00D437A2" w:rsidRDefault="00D437A2" w:rsidP="00A70E13">
      <w:pPr>
        <w:rPr>
          <w:bCs/>
        </w:rPr>
      </w:pPr>
      <w:bookmarkStart w:id="1" w:name="Coding_and_Modifier_Info"/>
      <w:r>
        <w:rPr>
          <w:bCs/>
        </w:rPr>
        <w:t xml:space="preserve">Home State Health issues payment in accordance with the MHD fee schedule rate and reach provider’s specific contract percentage for claims submitted with the –HK modifier. </w:t>
      </w:r>
    </w:p>
    <w:p w:rsidR="00BC2161" w:rsidRDefault="00BC2161" w:rsidP="00A70E13">
      <w:pPr>
        <w:rPr>
          <w:b/>
          <w:bCs/>
        </w:rPr>
      </w:pPr>
    </w:p>
    <w:p w:rsidR="00A70E13" w:rsidRPr="00983688" w:rsidRDefault="00A70E13" w:rsidP="00A70E13">
      <w:pPr>
        <w:rPr>
          <w:b/>
          <w:bCs/>
        </w:rPr>
      </w:pPr>
      <w:r w:rsidRPr="00983688">
        <w:rPr>
          <w:b/>
          <w:bCs/>
        </w:rPr>
        <w:t>Coding and Modifier Information</w:t>
      </w:r>
    </w:p>
    <w:bookmarkEnd w:id="1"/>
    <w:p w:rsidR="008525D0" w:rsidRPr="00983688" w:rsidRDefault="008525D0" w:rsidP="008525D0">
      <w:pPr>
        <w:rPr>
          <w:rFonts w:eastAsiaTheme="minorHAnsi"/>
        </w:rPr>
      </w:pPr>
      <w:r w:rsidRPr="00983688">
        <w:rPr>
          <w:rFonts w:eastAsiaTheme="minorHAnsi"/>
        </w:rPr>
        <w:lastRenderedPageBreak/>
        <w:t>This payment policy references Current Procedural Terminology (CPT</w:t>
      </w:r>
      <w:r w:rsidRPr="00983688">
        <w:rPr>
          <w:rFonts w:eastAsiaTheme="minorHAnsi"/>
          <w:vertAlign w:val="superscript"/>
        </w:rPr>
        <w:t>®</w:t>
      </w:r>
      <w:r w:rsidRPr="00983688">
        <w:rPr>
          <w:rFonts w:eastAsiaTheme="minorHAnsi"/>
        </w:rPr>
        <w:t>). CPT</w:t>
      </w:r>
      <w:r w:rsidRPr="00983688">
        <w:rPr>
          <w:rFonts w:eastAsiaTheme="minorHAnsi"/>
          <w:vertAlign w:val="superscript"/>
        </w:rPr>
        <w:t>®</w:t>
      </w:r>
      <w:r w:rsidRPr="00983688">
        <w:rPr>
          <w:rFonts w:eastAsiaTheme="minorHAnsi"/>
        </w:rPr>
        <w:t xml:space="preserve"> is a registered trademark of the American Medical Association. All CPT® codes and descriptions are copyrighted 201</w:t>
      </w:r>
      <w:r w:rsidR="00B80D05">
        <w:rPr>
          <w:rFonts w:eastAsiaTheme="minorHAnsi"/>
        </w:rPr>
        <w:t>9</w:t>
      </w:r>
      <w:r w:rsidRPr="00983688">
        <w:rPr>
          <w:rFonts w:eastAsiaTheme="minorHAnsi"/>
        </w:rPr>
        <w:t>, American Medical Association. All rights reserved. CPT codes and CPT descriptions are from current manuals and those included herein are not intended to be all-inclusive and are included for informational purposes only.  Codes referenced in this payment policy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A70E13" w:rsidRPr="00A70E13" w:rsidRDefault="00A70E13" w:rsidP="00A70E13">
      <w:pPr>
        <w:rPr>
          <w:rFonts w:eastAsiaTheme="minorHAnsi"/>
          <w:color w:val="244061" w:themeColor="accent1" w:themeShade="80"/>
        </w:rPr>
      </w:pPr>
    </w:p>
    <w:tbl>
      <w:tblPr>
        <w:tblStyle w:val="TableGrid1"/>
        <w:tblW w:w="0" w:type="auto"/>
        <w:tblLook w:val="04A0" w:firstRow="1" w:lastRow="0" w:firstColumn="1" w:lastColumn="0" w:noHBand="0" w:noVBand="1"/>
      </w:tblPr>
      <w:tblGrid>
        <w:gridCol w:w="2319"/>
        <w:gridCol w:w="7031"/>
      </w:tblGrid>
      <w:tr w:rsidR="00A70E13" w:rsidRPr="00443FAB" w:rsidTr="00B114A7">
        <w:trPr>
          <w:trHeight w:val="485"/>
        </w:trPr>
        <w:tc>
          <w:tcPr>
            <w:tcW w:w="2358" w:type="dxa"/>
            <w:shd w:val="clear" w:color="auto" w:fill="00548C"/>
          </w:tcPr>
          <w:p w:rsidR="00A70E13" w:rsidRPr="00443FAB" w:rsidRDefault="008C6C44" w:rsidP="00A6799B">
            <w:pPr>
              <w:spacing w:before="120"/>
              <w:rPr>
                <w:rFonts w:ascii="Times New Roman" w:hAnsi="Times New Roman" w:cs="Times New Roman"/>
                <w:b/>
                <w:color w:val="FFFFFF" w:themeColor="background1"/>
              </w:rPr>
            </w:pPr>
            <w:r>
              <w:rPr>
                <w:rFonts w:ascii="Times New Roman" w:hAnsi="Times New Roman" w:cs="Times New Roman"/>
                <w:b/>
                <w:color w:val="FFFFFF" w:themeColor="background1"/>
              </w:rPr>
              <w:t>Modifier</w:t>
            </w:r>
          </w:p>
        </w:tc>
        <w:tc>
          <w:tcPr>
            <w:tcW w:w="7218" w:type="dxa"/>
            <w:shd w:val="clear" w:color="auto" w:fill="00548C"/>
          </w:tcPr>
          <w:p w:rsidR="00A70E13" w:rsidRPr="00443FAB" w:rsidRDefault="00A70E13" w:rsidP="00A6799B">
            <w:pPr>
              <w:spacing w:before="120"/>
              <w:rPr>
                <w:rFonts w:ascii="Times New Roman" w:hAnsi="Times New Roman" w:cs="Times New Roman"/>
                <w:b/>
                <w:color w:val="FFFFFF" w:themeColor="background1"/>
              </w:rPr>
            </w:pPr>
            <w:r w:rsidRPr="00443FAB">
              <w:rPr>
                <w:rFonts w:ascii="Times New Roman" w:hAnsi="Times New Roman" w:cs="Times New Roman"/>
                <w:b/>
                <w:color w:val="FFFFFF" w:themeColor="background1"/>
              </w:rPr>
              <w:t>Descriptor</w:t>
            </w:r>
          </w:p>
        </w:tc>
      </w:tr>
      <w:tr w:rsidR="00A70E13" w:rsidRPr="00443FAB" w:rsidTr="00A6799B">
        <w:tc>
          <w:tcPr>
            <w:tcW w:w="2358" w:type="dxa"/>
          </w:tcPr>
          <w:p w:rsidR="00A70E13" w:rsidRPr="00443FAB" w:rsidRDefault="008C6C44" w:rsidP="00A6799B">
            <w:pPr>
              <w:rPr>
                <w:rFonts w:ascii="Times New Roman" w:hAnsi="Times New Roman" w:cs="Times New Roman"/>
              </w:rPr>
            </w:pPr>
            <w:r>
              <w:rPr>
                <w:rFonts w:ascii="Times New Roman" w:hAnsi="Times New Roman" w:cs="Times New Roman"/>
              </w:rPr>
              <w:t>HK</w:t>
            </w:r>
          </w:p>
        </w:tc>
        <w:tc>
          <w:tcPr>
            <w:tcW w:w="7218" w:type="dxa"/>
          </w:tcPr>
          <w:p w:rsidR="00A70E13" w:rsidRPr="008C6C44" w:rsidRDefault="008C6C44" w:rsidP="008C6C44">
            <w:r>
              <w:t>Specialized mental health programs for high risk populations</w:t>
            </w:r>
          </w:p>
        </w:tc>
      </w:tr>
    </w:tbl>
    <w:p w:rsidR="00B114A7" w:rsidRPr="00A70E13" w:rsidRDefault="00B114A7" w:rsidP="00A70E13">
      <w:pPr>
        <w:rPr>
          <w:rFonts w:eastAsiaTheme="minorHAnsi"/>
          <w:b/>
          <w:color w:val="002868"/>
          <w:sz w:val="28"/>
          <w:szCs w:val="28"/>
        </w:rPr>
      </w:pPr>
    </w:p>
    <w:p w:rsidR="00A70E13" w:rsidRPr="00983688" w:rsidRDefault="00A70E13" w:rsidP="00A70E13">
      <w:pPr>
        <w:rPr>
          <w:b/>
          <w:bCs/>
        </w:rPr>
      </w:pPr>
      <w:r w:rsidRPr="00983688">
        <w:rPr>
          <w:b/>
          <w:bCs/>
        </w:rPr>
        <w:t>Definitions</w:t>
      </w:r>
      <w:r w:rsidR="008525D0">
        <w:rPr>
          <w:b/>
          <w:bCs/>
        </w:rPr>
        <w:t>:</w:t>
      </w:r>
      <w:r w:rsidR="003A56DA">
        <w:rPr>
          <w:b/>
          <w:bCs/>
        </w:rPr>
        <w:t xml:space="preserve"> N/A</w:t>
      </w:r>
    </w:p>
    <w:p w:rsidR="008525D0" w:rsidRDefault="008525D0" w:rsidP="003A56DA">
      <w:pPr>
        <w:autoSpaceDE w:val="0"/>
        <w:autoSpaceDN w:val="0"/>
        <w:adjustRightInd w:val="0"/>
        <w:ind w:left="720"/>
        <w:rPr>
          <w:rFonts w:eastAsiaTheme="minorHAnsi"/>
        </w:rPr>
      </w:pPr>
      <w:r w:rsidRPr="008525D0">
        <w:rPr>
          <w:rFonts w:eastAsiaTheme="minorHAnsi"/>
        </w:rPr>
        <w:t xml:space="preserve"> </w:t>
      </w:r>
    </w:p>
    <w:p w:rsidR="00A70E13" w:rsidRDefault="00A70E13" w:rsidP="00983688">
      <w:pPr>
        <w:rPr>
          <w:b/>
          <w:bCs/>
        </w:rPr>
      </w:pPr>
      <w:r w:rsidRPr="00983688">
        <w:rPr>
          <w:b/>
          <w:bCs/>
        </w:rPr>
        <w:t>References</w:t>
      </w:r>
    </w:p>
    <w:p w:rsidR="00D437A2" w:rsidRPr="00D437A2" w:rsidRDefault="00D437A2" w:rsidP="00D437A2">
      <w:pPr>
        <w:pStyle w:val="Default"/>
        <w:numPr>
          <w:ilvl w:val="0"/>
          <w:numId w:val="22"/>
        </w:numPr>
        <w:rPr>
          <w:rFonts w:ascii="Times New Roman" w:hAnsi="Times New Roman" w:cs="Times New Roman"/>
        </w:rPr>
      </w:pPr>
      <w:r w:rsidRPr="00D437A2">
        <w:rPr>
          <w:rFonts w:ascii="Times New Roman" w:eastAsiaTheme="minorHAnsi" w:hAnsi="Times New Roman" w:cs="Times New Roman"/>
          <w:i/>
        </w:rPr>
        <w:t xml:space="preserve">MHD Provider Bulletin: </w:t>
      </w:r>
      <w:r w:rsidRPr="00D437A2">
        <w:rPr>
          <w:rFonts w:ascii="Times New Roman" w:eastAsiaTheme="minorHAnsi" w:hAnsi="Times New Roman" w:cs="Times New Roman"/>
        </w:rPr>
        <w:t xml:space="preserve">Volume 40 Number 48 issued February 26, 2018 - </w:t>
      </w:r>
      <w:r w:rsidRPr="00D437A2">
        <w:rPr>
          <w:rFonts w:ascii="Times New Roman" w:hAnsi="Times New Roman" w:cs="Times New Roman"/>
          <w:bCs/>
        </w:rPr>
        <w:t>Enhanced Reimbursement of Evidence-Based Treatment for Children Who Have Experienced Severe Trauma</w:t>
      </w:r>
    </w:p>
    <w:p w:rsidR="001227EE" w:rsidRPr="00623C5A" w:rsidRDefault="00D437A2" w:rsidP="00D437A2">
      <w:pPr>
        <w:numPr>
          <w:ilvl w:val="0"/>
          <w:numId w:val="22"/>
        </w:numPr>
        <w:spacing w:after="200" w:line="276" w:lineRule="auto"/>
        <w:contextualSpacing/>
        <w:rPr>
          <w:rFonts w:eastAsiaTheme="minorHAnsi"/>
        </w:rPr>
      </w:pPr>
      <w:r w:rsidRPr="00D437A2">
        <w:rPr>
          <w:rFonts w:eastAsiaTheme="minorHAnsi"/>
          <w:i/>
        </w:rPr>
        <w:t xml:space="preserve">MHD Provider Bulletin: </w:t>
      </w:r>
      <w:r w:rsidRPr="00D437A2">
        <w:rPr>
          <w:rFonts w:eastAsiaTheme="minorHAnsi"/>
        </w:rPr>
        <w:t xml:space="preserve">Volume 41 Number 56 issued May 22, 2019 - </w:t>
      </w:r>
      <w:r w:rsidRPr="00D437A2">
        <w:rPr>
          <w:bCs/>
        </w:rPr>
        <w:t>Enhanced Reimbursement of Evidence-Based Treatment for Children Who Have Experienced Severe Trauma Program</w:t>
      </w:r>
    </w:p>
    <w:p w:rsidR="00623C5A" w:rsidRPr="00D437A2" w:rsidRDefault="00623C5A" w:rsidP="00D437A2">
      <w:pPr>
        <w:numPr>
          <w:ilvl w:val="0"/>
          <w:numId w:val="22"/>
        </w:numPr>
        <w:spacing w:after="200" w:line="276" w:lineRule="auto"/>
        <w:contextualSpacing/>
        <w:rPr>
          <w:rFonts w:eastAsiaTheme="minorHAnsi"/>
        </w:rPr>
      </w:pPr>
      <w:r>
        <w:rPr>
          <w:rFonts w:eastAsiaTheme="minorHAnsi"/>
          <w:i/>
        </w:rPr>
        <w:t>MHD Provider Bulletin:</w:t>
      </w:r>
      <w:r>
        <w:rPr>
          <w:rFonts w:eastAsiaTheme="minorHAnsi"/>
        </w:rPr>
        <w:t xml:space="preserve"> Volume 42 Number 43 issued June 17, 2020 – New Billing Process for Evidence-Based Treatment of Children Who Have Experienced Severe Trauma</w:t>
      </w:r>
    </w:p>
    <w:p w:rsidR="00B114A7" w:rsidRPr="00D437A2" w:rsidRDefault="00B114A7" w:rsidP="00983688">
      <w:pPr>
        <w:spacing w:after="200" w:line="276" w:lineRule="auto"/>
        <w:ind w:left="720"/>
        <w:contextualSpacing/>
        <w:rPr>
          <w:rFonts w:eastAsiaTheme="minorHAnsi"/>
          <w:color w:val="1F497D" w:themeColor="text2"/>
        </w:rPr>
      </w:pPr>
    </w:p>
    <w:tbl>
      <w:tblPr>
        <w:tblStyle w:val="TableGrid1"/>
        <w:tblW w:w="0" w:type="auto"/>
        <w:tblLook w:val="04A0" w:firstRow="1" w:lastRow="0" w:firstColumn="1" w:lastColumn="0" w:noHBand="0" w:noVBand="1"/>
      </w:tblPr>
      <w:tblGrid>
        <w:gridCol w:w="1989"/>
        <w:gridCol w:w="7361"/>
      </w:tblGrid>
      <w:tr w:rsidR="00A70E13" w:rsidRPr="00A70E13" w:rsidTr="00983688">
        <w:tc>
          <w:tcPr>
            <w:tcW w:w="9350" w:type="dxa"/>
            <w:gridSpan w:val="2"/>
            <w:shd w:val="clear" w:color="auto" w:fill="00548C"/>
          </w:tcPr>
          <w:p w:rsidR="00A70E13" w:rsidRPr="00A70E13" w:rsidRDefault="00B114A7" w:rsidP="00A6799B">
            <w:pPr>
              <w:rPr>
                <w:rFonts w:ascii="Times New Roman" w:hAnsi="Times New Roman" w:cs="Times New Roman"/>
                <w:b/>
                <w:color w:val="FFFFFF" w:themeColor="background1"/>
              </w:rPr>
            </w:pPr>
            <w:bookmarkStart w:id="2" w:name="Revision_log"/>
            <w:r w:rsidRPr="00A70E13">
              <w:rPr>
                <w:rFonts w:ascii="Times New Roman" w:hAnsi="Times New Roman" w:cs="Times New Roman"/>
                <w:b/>
                <w:color w:val="FFFFFF" w:themeColor="background1"/>
              </w:rPr>
              <w:t>Revision History</w:t>
            </w:r>
            <w:bookmarkEnd w:id="2"/>
          </w:p>
        </w:tc>
      </w:tr>
      <w:tr w:rsidR="00A70E13" w:rsidRPr="00A70E13" w:rsidTr="00A6799B">
        <w:tc>
          <w:tcPr>
            <w:tcW w:w="1989" w:type="dxa"/>
          </w:tcPr>
          <w:p w:rsidR="00A70E13" w:rsidRPr="00A70E13" w:rsidRDefault="008C6C44" w:rsidP="00A6799B">
            <w:pPr>
              <w:rPr>
                <w:rFonts w:ascii="Times New Roman" w:hAnsi="Times New Roman" w:cs="Times New Roman"/>
              </w:rPr>
            </w:pPr>
            <w:r>
              <w:rPr>
                <w:rFonts w:ascii="Times New Roman" w:hAnsi="Times New Roman" w:cs="Times New Roman"/>
              </w:rPr>
              <w:t>5/1/2020</w:t>
            </w:r>
          </w:p>
        </w:tc>
        <w:tc>
          <w:tcPr>
            <w:tcW w:w="7361" w:type="dxa"/>
          </w:tcPr>
          <w:p w:rsidR="00A70E13" w:rsidRPr="00A70E13" w:rsidRDefault="006C1F28" w:rsidP="00A6799B">
            <w:pPr>
              <w:rPr>
                <w:rFonts w:ascii="Times New Roman" w:hAnsi="Times New Roman" w:cs="Times New Roman"/>
              </w:rPr>
            </w:pPr>
            <w:r>
              <w:rPr>
                <w:rFonts w:ascii="Times New Roman" w:hAnsi="Times New Roman" w:cs="Times New Roman"/>
              </w:rPr>
              <w:t>Initial Policy Draft</w:t>
            </w:r>
          </w:p>
        </w:tc>
      </w:tr>
      <w:tr w:rsidR="002D4D50" w:rsidRPr="00A70E13" w:rsidTr="00A6799B">
        <w:tc>
          <w:tcPr>
            <w:tcW w:w="1989" w:type="dxa"/>
          </w:tcPr>
          <w:p w:rsidR="008525D0" w:rsidRPr="0073513F" w:rsidRDefault="00623C5A" w:rsidP="00A6799B">
            <w:pPr>
              <w:rPr>
                <w:rFonts w:ascii="Times New Roman" w:hAnsi="Times New Roman" w:cs="Times New Roman"/>
              </w:rPr>
            </w:pPr>
            <w:r>
              <w:rPr>
                <w:rFonts w:ascii="Times New Roman" w:hAnsi="Times New Roman" w:cs="Times New Roman"/>
              </w:rPr>
              <w:t>6/22/2020</w:t>
            </w:r>
          </w:p>
        </w:tc>
        <w:tc>
          <w:tcPr>
            <w:tcW w:w="7361" w:type="dxa"/>
          </w:tcPr>
          <w:p w:rsidR="002D4D50" w:rsidRDefault="00623C5A" w:rsidP="00A6799B">
            <w:pPr>
              <w:rPr>
                <w:rFonts w:ascii="Times New Roman" w:hAnsi="Times New Roman" w:cs="Times New Roman"/>
              </w:rPr>
            </w:pPr>
            <w:r>
              <w:rPr>
                <w:rFonts w:ascii="Times New Roman" w:hAnsi="Times New Roman" w:cs="Times New Roman"/>
              </w:rPr>
              <w:t>Final policy draft</w:t>
            </w:r>
          </w:p>
          <w:p w:rsidR="008525D0" w:rsidRPr="0073513F" w:rsidRDefault="008525D0" w:rsidP="00A6799B">
            <w:pPr>
              <w:rPr>
                <w:rFonts w:ascii="Times New Roman" w:hAnsi="Times New Roman" w:cs="Times New Roman"/>
              </w:rPr>
            </w:pPr>
          </w:p>
        </w:tc>
      </w:tr>
    </w:tbl>
    <w:p w:rsidR="00DD6ADB" w:rsidRDefault="00DD6ADB" w:rsidP="00963062"/>
    <w:p w:rsidR="00AB261B" w:rsidRPr="00983688" w:rsidRDefault="00AB261B" w:rsidP="00AB261B">
      <w:pPr>
        <w:rPr>
          <w:b/>
          <w:szCs w:val="28"/>
          <w:u w:val="single"/>
        </w:rPr>
      </w:pPr>
      <w:bookmarkStart w:id="3" w:name="Important_reminder"/>
      <w:r w:rsidRPr="00983688">
        <w:rPr>
          <w:b/>
          <w:szCs w:val="28"/>
          <w:u w:val="single"/>
        </w:rPr>
        <w:t>Important Reminder</w:t>
      </w:r>
    </w:p>
    <w:bookmarkEnd w:id="3"/>
    <w:p w:rsidR="00AB261B" w:rsidRPr="00983688" w:rsidRDefault="00AB261B" w:rsidP="00AB261B">
      <w:pPr>
        <w:rPr>
          <w:rFonts w:eastAsiaTheme="minorHAnsi"/>
        </w:rPr>
      </w:pPr>
      <w:r w:rsidRPr="00983688">
        <w:rPr>
          <w:rFonts w:eastAsiaTheme="minorHAnsi"/>
        </w:rPr>
        <w:t>For the purposes of this payment policy, “Health Plan” means a health plan that has adopted this payment policy and that is operated or administered, in whole or in part, by Centene Management Company, LLC, or any other of such health plan’s affiliates, as applicable.</w:t>
      </w:r>
    </w:p>
    <w:p w:rsidR="00AB261B" w:rsidRPr="00983688" w:rsidRDefault="00AB261B" w:rsidP="00AB261B">
      <w:pPr>
        <w:rPr>
          <w:rFonts w:eastAsiaTheme="minorHAnsi"/>
        </w:rPr>
      </w:pPr>
    </w:p>
    <w:p w:rsidR="00AB261B" w:rsidRPr="00983688" w:rsidRDefault="00AB261B" w:rsidP="00AB261B">
      <w:pPr>
        <w:rPr>
          <w:rFonts w:asciiTheme="minorHAnsi" w:eastAsiaTheme="minorHAnsi" w:hAnsiTheme="minorHAnsi" w:cstheme="minorBidi"/>
        </w:rPr>
      </w:pPr>
      <w:r w:rsidRPr="00983688">
        <w:rPr>
          <w:rFonts w:eastAsiaTheme="minorHAnsi"/>
        </w:rPr>
        <w:t xml:space="preserve">The purpose of this payment policy is to provide a guide to payment, which is a component of the guidelines used to assist in making coverage and payment determinations and administering benefits. It does not constitute a contract or guarantee regarding payment or results. Coverage and payment determinations and the administration of benefits are subject to all terms, conditions, exclusions and limitations of the coverage documents (e.g., evidence of coverage, certificate of coverage, policy, contract of insurance, etc.), as well as to state and federal requirements and applicable plan-level administrative policies and procedures. </w:t>
      </w:r>
      <w:r w:rsidRPr="00983688">
        <w:rPr>
          <w:rFonts w:asciiTheme="minorHAnsi" w:eastAsiaTheme="minorHAnsi" w:hAnsiTheme="minorHAnsi" w:cstheme="minorBidi"/>
        </w:rPr>
        <w:t xml:space="preserve"> </w:t>
      </w:r>
      <w:r w:rsidRPr="00983688">
        <w:rPr>
          <w:rFonts w:eastAsiaTheme="minorHAnsi"/>
        </w:rPr>
        <w:t xml:space="preserve"> </w:t>
      </w:r>
    </w:p>
    <w:p w:rsidR="00AB261B" w:rsidRPr="00983688" w:rsidRDefault="00AB261B" w:rsidP="00AB261B">
      <w:pPr>
        <w:rPr>
          <w:rFonts w:asciiTheme="minorHAnsi" w:eastAsiaTheme="minorHAnsi" w:hAnsiTheme="minorHAnsi" w:cstheme="minorBidi"/>
        </w:rPr>
      </w:pPr>
    </w:p>
    <w:p w:rsidR="00AB261B" w:rsidRPr="00983688" w:rsidRDefault="00AB261B" w:rsidP="00AB261B">
      <w:pPr>
        <w:rPr>
          <w:color w:val="002868"/>
        </w:rPr>
      </w:pPr>
      <w:r w:rsidRPr="00983688">
        <w:rPr>
          <w:rFonts w:eastAsiaTheme="minorHAnsi"/>
        </w:rPr>
        <w:t>This payment policy is effective as of the date determined by Health Plan. The date of posting may not be the effective date of this payment policy. This payment policy may be subject to applicable legal and regulatory requirements relating to provider notification. If there is a discrepancy between the effective date of this payment policy and any applicable legal or regulatory requirement, the requirements of law and regulation shall govern. Health Plan retains the right to change, amend or withdraw this payment policy, and additional payment policies may be developed and adopted as needed, at any time.</w:t>
      </w:r>
    </w:p>
    <w:p w:rsidR="00AB261B" w:rsidRPr="00983688" w:rsidRDefault="00AB261B" w:rsidP="00AB261B">
      <w:pPr>
        <w:rPr>
          <w:rFonts w:eastAsiaTheme="minorHAnsi"/>
        </w:rPr>
      </w:pPr>
    </w:p>
    <w:p w:rsidR="00AB261B" w:rsidRPr="00B114A7" w:rsidRDefault="00AB261B" w:rsidP="00AB261B">
      <w:pPr>
        <w:rPr>
          <w:rFonts w:eastAsiaTheme="minorHAnsi"/>
        </w:rPr>
      </w:pPr>
      <w:r w:rsidRPr="00983688">
        <w:rPr>
          <w:rFonts w:eastAsiaTheme="minorHAnsi"/>
        </w:rPr>
        <w:t>This payment policy does not constitute medical advice, medical treatment or medical care.  It is not intended to dictate to providers how to practice medicine. Providers are expected to exercise professional medical judgment in providing the most appropriate care, and are solely responsible</w:t>
      </w:r>
      <w:r w:rsidR="003A56DA">
        <w:rPr>
          <w:rFonts w:eastAsiaTheme="minorHAnsi"/>
        </w:rPr>
        <w:t xml:space="preserve"> </w:t>
      </w:r>
      <w:r w:rsidRPr="00983688">
        <w:rPr>
          <w:rFonts w:eastAsiaTheme="minorHAnsi"/>
        </w:rPr>
        <w:t xml:space="preserve">for the medical advice and treatment of </w:t>
      </w:r>
      <w:r w:rsidR="00776195">
        <w:rPr>
          <w:rFonts w:eastAsiaTheme="minorHAnsi"/>
        </w:rPr>
        <w:t>patient</w:t>
      </w:r>
      <w:r w:rsidRPr="00983688">
        <w:rPr>
          <w:rFonts w:eastAsiaTheme="minorHAnsi"/>
        </w:rPr>
        <w:t xml:space="preserve">s.  This payment policy is not intended to recommend treatment for </w:t>
      </w:r>
      <w:r w:rsidR="00776195">
        <w:rPr>
          <w:rFonts w:eastAsiaTheme="minorHAnsi"/>
        </w:rPr>
        <w:t>patient</w:t>
      </w:r>
      <w:r w:rsidRPr="00983688">
        <w:rPr>
          <w:rFonts w:eastAsiaTheme="minorHAnsi"/>
        </w:rPr>
        <w:t xml:space="preserve">s. </w:t>
      </w:r>
      <w:r w:rsidR="00776195">
        <w:rPr>
          <w:rFonts w:eastAsiaTheme="minorHAnsi"/>
        </w:rPr>
        <w:t>Patient</w:t>
      </w:r>
      <w:r w:rsidRPr="00983688">
        <w:rPr>
          <w:rFonts w:eastAsiaTheme="minorHAnsi"/>
        </w:rPr>
        <w:t xml:space="preserve">s should </w:t>
      </w:r>
      <w:r w:rsidRPr="00983688">
        <w:rPr>
          <w:rFonts w:eastAsiaTheme="minorHAnsi"/>
        </w:rPr>
        <w:lastRenderedPageBreak/>
        <w:t xml:space="preserve">consult with their treating physician in connection with diagnosis and treatment decisions. </w:t>
      </w:r>
    </w:p>
    <w:p w:rsidR="00AB261B" w:rsidRPr="00983688" w:rsidRDefault="00AB261B" w:rsidP="00AB261B">
      <w:pPr>
        <w:rPr>
          <w:rFonts w:eastAsiaTheme="minorHAnsi"/>
        </w:rPr>
      </w:pPr>
    </w:p>
    <w:p w:rsidR="00AB261B" w:rsidRPr="00983688" w:rsidRDefault="00AB261B" w:rsidP="00AB261B">
      <w:pPr>
        <w:rPr>
          <w:rFonts w:eastAsiaTheme="minorHAnsi"/>
        </w:rPr>
      </w:pPr>
      <w:r w:rsidRPr="00983688">
        <w:rPr>
          <w:rFonts w:eastAsiaTheme="minorHAnsi"/>
        </w:rPr>
        <w:t>Providers referred to in this policy are independent contractors who exercise independent judgment and over whom Health Plan has no control or right of control.  Providers are not agents or employees of Health Plan.</w:t>
      </w:r>
    </w:p>
    <w:p w:rsidR="00AB261B" w:rsidRPr="00983688" w:rsidRDefault="00AB261B" w:rsidP="00AB261B">
      <w:pPr>
        <w:rPr>
          <w:rFonts w:eastAsiaTheme="minorHAnsi"/>
        </w:rPr>
      </w:pPr>
    </w:p>
    <w:p w:rsidR="00AB261B" w:rsidRPr="00983688" w:rsidRDefault="00AB261B" w:rsidP="00AB261B">
      <w:pPr>
        <w:rPr>
          <w:rFonts w:eastAsiaTheme="minorHAnsi"/>
        </w:rPr>
      </w:pPr>
      <w:r w:rsidRPr="00983688">
        <w:rPr>
          <w:rFonts w:eastAsiaTheme="minorHAnsi"/>
        </w:rPr>
        <w:t xml:space="preserve">This payment policy is the property of </w:t>
      </w:r>
      <w:r w:rsidRPr="00983688">
        <w:rPr>
          <w:rFonts w:eastAsiaTheme="minorHAnsi"/>
          <w:iCs/>
        </w:rPr>
        <w:t>Centene Corporation</w:t>
      </w:r>
      <w:r w:rsidRPr="00983688">
        <w:rPr>
          <w:rFonts w:eastAsiaTheme="minorHAnsi"/>
        </w:rPr>
        <w:t xml:space="preserve">. Unauthorized copying, use, and distribution of this payment policy or any information contained herein are strictly prohibited.  Providers, </w:t>
      </w:r>
      <w:r w:rsidR="00776195">
        <w:rPr>
          <w:rFonts w:eastAsiaTheme="minorHAnsi"/>
        </w:rPr>
        <w:t>patient</w:t>
      </w:r>
      <w:r w:rsidRPr="00983688">
        <w:rPr>
          <w:rFonts w:eastAsiaTheme="minorHAnsi"/>
        </w:rPr>
        <w:t xml:space="preserve">s and their representatives are bound to the terms and conditions expressed herein through the terms of their contracts.  Where no such contract exists, providers, </w:t>
      </w:r>
      <w:r w:rsidR="00776195">
        <w:rPr>
          <w:rFonts w:eastAsiaTheme="minorHAnsi"/>
        </w:rPr>
        <w:t>patient</w:t>
      </w:r>
      <w:r w:rsidRPr="00983688">
        <w:rPr>
          <w:rFonts w:eastAsiaTheme="minorHAnsi"/>
        </w:rPr>
        <w:t xml:space="preserve">s and their representatives agree to be bound by such terms and conditions by providing services to </w:t>
      </w:r>
      <w:r w:rsidR="00776195">
        <w:rPr>
          <w:rFonts w:eastAsiaTheme="minorHAnsi"/>
        </w:rPr>
        <w:t>patient</w:t>
      </w:r>
      <w:r w:rsidRPr="00983688">
        <w:rPr>
          <w:rFonts w:eastAsiaTheme="minorHAnsi"/>
        </w:rPr>
        <w:t xml:space="preserve">s and/or submitting claims for payment for such services.  </w:t>
      </w:r>
    </w:p>
    <w:p w:rsidR="00AB261B" w:rsidRPr="00983688" w:rsidRDefault="00AB261B" w:rsidP="00AB261B">
      <w:pPr>
        <w:rPr>
          <w:rFonts w:eastAsiaTheme="minorHAnsi"/>
          <w:b/>
        </w:rPr>
      </w:pPr>
    </w:p>
    <w:p w:rsidR="00C75BD4" w:rsidRPr="00B114A7" w:rsidRDefault="00D437A2" w:rsidP="00AB261B">
      <w:r>
        <w:rPr>
          <w:rFonts w:eastAsiaTheme="minorHAnsi"/>
          <w:iCs/>
        </w:rPr>
        <w:t>©2020</w:t>
      </w:r>
      <w:r w:rsidR="00AB261B" w:rsidRPr="00983688">
        <w:rPr>
          <w:rFonts w:eastAsiaTheme="minorHAnsi"/>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AB261B" w:rsidRPr="00983688">
        <w:rPr>
          <w:rFonts w:eastAsiaTheme="minorHAnsi"/>
          <w:iCs/>
          <w:vertAlign w:val="superscript"/>
        </w:rPr>
        <w:t>®</w:t>
      </w:r>
      <w:r w:rsidR="00AB261B" w:rsidRPr="00983688">
        <w:rPr>
          <w:rFonts w:eastAsiaTheme="minorHAnsi"/>
          <w:iCs/>
        </w:rPr>
        <w:t xml:space="preserve"> and Centene Corporation</w:t>
      </w:r>
      <w:r w:rsidR="00AB261B" w:rsidRPr="00983688">
        <w:rPr>
          <w:rFonts w:eastAsiaTheme="minorHAnsi"/>
          <w:iCs/>
          <w:vertAlign w:val="superscript"/>
        </w:rPr>
        <w:t>®</w:t>
      </w:r>
      <w:r w:rsidR="00AB261B" w:rsidRPr="00983688">
        <w:rPr>
          <w:rFonts w:eastAsiaTheme="minorHAnsi"/>
          <w:iCs/>
        </w:rPr>
        <w:t xml:space="preserve"> are registered trademarks exclusively owned by Centene Corporation.</w:t>
      </w:r>
    </w:p>
    <w:sectPr w:rsidR="00C75BD4" w:rsidRPr="00B114A7"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61" w:rsidRDefault="00296161">
      <w:r>
        <w:separator/>
      </w:r>
    </w:p>
  </w:endnote>
  <w:endnote w:type="continuationSeparator" w:id="0">
    <w:p w:rsidR="00296161" w:rsidRDefault="0029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470EB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70EBE">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470EBE">
      <w:rPr>
        <w:noProof/>
      </w:rPr>
      <w:t>1</w:t>
    </w:r>
    <w:r>
      <w:fldChar w:fldCharType="end"/>
    </w:r>
    <w:r>
      <w:t xml:space="preserve"> of </w:t>
    </w:r>
    <w:r w:rsidR="00470EBE">
      <w:fldChar w:fldCharType="begin"/>
    </w:r>
    <w:r w:rsidR="00470EBE">
      <w:instrText xml:space="preserve"> NUMPAGES   \* MERGEFORMAT </w:instrText>
    </w:r>
    <w:r w:rsidR="00470EBE">
      <w:fldChar w:fldCharType="separate"/>
    </w:r>
    <w:r w:rsidR="00470EBE">
      <w:rPr>
        <w:noProof/>
      </w:rPr>
      <w:t>3</w:t>
    </w:r>
    <w:r w:rsidR="00470E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61" w:rsidRDefault="00296161">
      <w:r>
        <w:separator/>
      </w:r>
    </w:p>
  </w:footnote>
  <w:footnote w:type="continuationSeparator" w:id="0">
    <w:p w:rsidR="00296161" w:rsidRDefault="0029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CA" w:rsidRPr="00B777AF" w:rsidRDefault="00923343" w:rsidP="00480C09">
    <w:pPr>
      <w:rPr>
        <w:rFonts w:ascii="Times New Roman Bold" w:hAnsi="Times New Roman Bold"/>
        <w:b/>
        <w:bCs/>
        <w:smallCaps/>
        <w:color w:val="00548C"/>
        <w:sz w:val="28"/>
      </w:rPr>
    </w:pPr>
    <w:r>
      <w:rPr>
        <w:rFonts w:ascii="Times New Roman Bold" w:hAnsi="Times New Roman Bold"/>
        <w:b/>
        <w:bCs/>
        <w:smallCaps/>
        <w:color w:val="00548C"/>
        <w:sz w:val="28"/>
      </w:rPr>
      <w:t>Payment</w:t>
    </w:r>
    <w:r w:rsidR="00D574CA" w:rsidRPr="00B777AF">
      <w:rPr>
        <w:rFonts w:ascii="Times New Roman Bold" w:hAnsi="Times New Roman Bold"/>
        <w:b/>
        <w:bCs/>
        <w:smallCaps/>
        <w:color w:val="00548C"/>
        <w:sz w:val="28"/>
      </w:rPr>
      <w:t xml:space="preserve">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06DAB269" wp14:editId="0EFB2324">
          <wp:extent cx="914400" cy="238125"/>
          <wp:effectExtent l="0" t="0" r="0" b="9525"/>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rsidR="00D437A2" w:rsidRDefault="00D437A2" w:rsidP="00B777AF">
    <w:pPr>
      <w:rPr>
        <w:color w:val="00548C"/>
        <w:sz w:val="36"/>
      </w:rPr>
    </w:pPr>
    <w:r>
      <w:rPr>
        <w:color w:val="00548C"/>
        <w:sz w:val="36"/>
      </w:rPr>
      <w:t>Behavioral Health Services for Children with Severe Trauma</w:t>
    </w:r>
  </w:p>
  <w:p w:rsidR="00D437A2" w:rsidRPr="00BC2161" w:rsidRDefault="00D437A2" w:rsidP="00B777AF">
    <w:pPr>
      <w:rPr>
        <w:color w:val="00548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E0" w:rsidRDefault="00A20F73" w:rsidP="00B777AF">
    <w:pPr>
      <w:pStyle w:val="Header"/>
      <w:jc w:val="right"/>
    </w:pPr>
    <w:r>
      <w:rPr>
        <w:noProof/>
      </w:rPr>
      <w:drawing>
        <wp:inline distT="0" distB="0" distL="0" distR="0" wp14:anchorId="537FCA02" wp14:editId="687595D3">
          <wp:extent cx="1371600" cy="352425"/>
          <wp:effectExtent l="0" t="0" r="0" b="9525"/>
          <wp:docPr id="4" name="Picture 4"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814"/>
    <w:multiLevelType w:val="hybridMultilevel"/>
    <w:tmpl w:val="C002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3A1C"/>
    <w:multiLevelType w:val="hybridMultilevel"/>
    <w:tmpl w:val="EBBC3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14395E"/>
    <w:multiLevelType w:val="hybridMultilevel"/>
    <w:tmpl w:val="E514E564"/>
    <w:lvl w:ilvl="0" w:tplc="C87253FC">
      <w:start w:val="1"/>
      <w:numFmt w:val="upperRoman"/>
      <w:lvlText w:val="%1."/>
      <w:lvlJc w:val="left"/>
      <w:pPr>
        <w:ind w:left="1440" w:hanging="360"/>
      </w:pPr>
      <w:rPr>
        <w:b/>
        <w:vertAlign w:val="baseline"/>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8081FE8"/>
    <w:multiLevelType w:val="hybridMultilevel"/>
    <w:tmpl w:val="85E2B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A10DA"/>
    <w:multiLevelType w:val="hybridMultilevel"/>
    <w:tmpl w:val="6F7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33A22"/>
    <w:multiLevelType w:val="hybridMultilevel"/>
    <w:tmpl w:val="6EAE77F6"/>
    <w:lvl w:ilvl="0" w:tplc="9B967758">
      <w:start w:val="1"/>
      <w:numFmt w:val="decimal"/>
      <w:lvlText w:val="%1."/>
      <w:lvlJc w:val="left"/>
      <w:pPr>
        <w:ind w:left="360" w:hanging="360"/>
      </w:pPr>
      <w:rPr>
        <w:rFonts w:ascii="Arial" w:eastAsiaTheme="minorHAnsi" w:hAnsi="Arial" w:cs="Arial"/>
        <w:b w:val="0"/>
        <w:i w:val="0"/>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20409"/>
    <w:multiLevelType w:val="hybridMultilevel"/>
    <w:tmpl w:val="FF0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271CA"/>
    <w:multiLevelType w:val="hybridMultilevel"/>
    <w:tmpl w:val="27EA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92505E"/>
    <w:multiLevelType w:val="hybridMultilevel"/>
    <w:tmpl w:val="BA4C94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925A0"/>
    <w:multiLevelType w:val="hybridMultilevel"/>
    <w:tmpl w:val="D9A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86A49"/>
    <w:multiLevelType w:val="hybridMultilevel"/>
    <w:tmpl w:val="9E80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
  </w:num>
  <w:num w:numId="3">
    <w:abstractNumId w:val="12"/>
  </w:num>
  <w:num w:numId="4">
    <w:abstractNumId w:val="16"/>
  </w:num>
  <w:num w:numId="5">
    <w:abstractNumId w:val="17"/>
  </w:num>
  <w:num w:numId="6">
    <w:abstractNumId w:val="26"/>
  </w:num>
  <w:num w:numId="7">
    <w:abstractNumId w:val="27"/>
  </w:num>
  <w:num w:numId="8">
    <w:abstractNumId w:val="3"/>
  </w:num>
  <w:num w:numId="9">
    <w:abstractNumId w:val="21"/>
  </w:num>
  <w:num w:numId="10">
    <w:abstractNumId w:val="10"/>
  </w:num>
  <w:num w:numId="11">
    <w:abstractNumId w:val="30"/>
  </w:num>
  <w:num w:numId="12">
    <w:abstractNumId w:val="15"/>
  </w:num>
  <w:num w:numId="13">
    <w:abstractNumId w:val="14"/>
  </w:num>
  <w:num w:numId="14">
    <w:abstractNumId w:val="7"/>
  </w:num>
  <w:num w:numId="15">
    <w:abstractNumId w:val="11"/>
  </w:num>
  <w:num w:numId="16">
    <w:abstractNumId w:val="29"/>
  </w:num>
  <w:num w:numId="17">
    <w:abstractNumId w:val="22"/>
  </w:num>
  <w:num w:numId="18">
    <w:abstractNumId w:val="18"/>
  </w:num>
  <w:num w:numId="19">
    <w:abstractNumId w:val="8"/>
  </w:num>
  <w:num w:numId="20">
    <w:abstractNumId w:val="4"/>
  </w:num>
  <w:num w:numId="21">
    <w:abstractNumId w:val="24"/>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6"/>
  </w:num>
  <w:num w:numId="27">
    <w:abstractNumId w:val="23"/>
  </w:num>
  <w:num w:numId="28">
    <w:abstractNumId w:val="25"/>
  </w:num>
  <w:num w:numId="29">
    <w:abstractNumId w:val="19"/>
  </w:num>
  <w:num w:numId="30">
    <w:abstractNumId w:val="9"/>
  </w:num>
  <w:num w:numId="31">
    <w:abstractNumId w:val="0"/>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53E3"/>
    <w:rsid w:val="0001302A"/>
    <w:rsid w:val="00021163"/>
    <w:rsid w:val="00024444"/>
    <w:rsid w:val="00030DD3"/>
    <w:rsid w:val="00032D3F"/>
    <w:rsid w:val="00041B92"/>
    <w:rsid w:val="000465DE"/>
    <w:rsid w:val="0004733E"/>
    <w:rsid w:val="000556D4"/>
    <w:rsid w:val="00060509"/>
    <w:rsid w:val="00065865"/>
    <w:rsid w:val="00070805"/>
    <w:rsid w:val="00074EB8"/>
    <w:rsid w:val="00083740"/>
    <w:rsid w:val="00093618"/>
    <w:rsid w:val="00094136"/>
    <w:rsid w:val="000A1D21"/>
    <w:rsid w:val="000B2E41"/>
    <w:rsid w:val="000B3F34"/>
    <w:rsid w:val="000C2548"/>
    <w:rsid w:val="000C5C41"/>
    <w:rsid w:val="000D3D1D"/>
    <w:rsid w:val="000E43F3"/>
    <w:rsid w:val="000E4CB8"/>
    <w:rsid w:val="000F10C2"/>
    <w:rsid w:val="000F436C"/>
    <w:rsid w:val="00110AFC"/>
    <w:rsid w:val="0011376D"/>
    <w:rsid w:val="00114185"/>
    <w:rsid w:val="001148A8"/>
    <w:rsid w:val="00116426"/>
    <w:rsid w:val="00121CB7"/>
    <w:rsid w:val="001227EE"/>
    <w:rsid w:val="00126201"/>
    <w:rsid w:val="00132BFD"/>
    <w:rsid w:val="00133B57"/>
    <w:rsid w:val="00137E01"/>
    <w:rsid w:val="0014316D"/>
    <w:rsid w:val="00146C6E"/>
    <w:rsid w:val="00155045"/>
    <w:rsid w:val="00170B14"/>
    <w:rsid w:val="00174983"/>
    <w:rsid w:val="001818D7"/>
    <w:rsid w:val="0018239D"/>
    <w:rsid w:val="00185104"/>
    <w:rsid w:val="0019547F"/>
    <w:rsid w:val="001962BE"/>
    <w:rsid w:val="00196689"/>
    <w:rsid w:val="00196935"/>
    <w:rsid w:val="0019746F"/>
    <w:rsid w:val="001A32D3"/>
    <w:rsid w:val="001C1FA6"/>
    <w:rsid w:val="001C3436"/>
    <w:rsid w:val="001D0D34"/>
    <w:rsid w:val="001D5726"/>
    <w:rsid w:val="001D70D4"/>
    <w:rsid w:val="001E7D12"/>
    <w:rsid w:val="0020675F"/>
    <w:rsid w:val="00214D12"/>
    <w:rsid w:val="00220736"/>
    <w:rsid w:val="00224336"/>
    <w:rsid w:val="002258AC"/>
    <w:rsid w:val="00230FE4"/>
    <w:rsid w:val="00233651"/>
    <w:rsid w:val="00254020"/>
    <w:rsid w:val="0025452A"/>
    <w:rsid w:val="00256C30"/>
    <w:rsid w:val="00262F4B"/>
    <w:rsid w:val="00285997"/>
    <w:rsid w:val="00293FC4"/>
    <w:rsid w:val="00295229"/>
    <w:rsid w:val="00296161"/>
    <w:rsid w:val="002A39EE"/>
    <w:rsid w:val="002B0582"/>
    <w:rsid w:val="002C6AAB"/>
    <w:rsid w:val="002D019A"/>
    <w:rsid w:val="002D4D50"/>
    <w:rsid w:val="002E48E7"/>
    <w:rsid w:val="00307BE5"/>
    <w:rsid w:val="003140D6"/>
    <w:rsid w:val="00327C06"/>
    <w:rsid w:val="00336E37"/>
    <w:rsid w:val="00350F22"/>
    <w:rsid w:val="0038219B"/>
    <w:rsid w:val="003840CC"/>
    <w:rsid w:val="003A0DE6"/>
    <w:rsid w:val="003A154C"/>
    <w:rsid w:val="003A56DA"/>
    <w:rsid w:val="003B0323"/>
    <w:rsid w:val="003C3F07"/>
    <w:rsid w:val="003D16FE"/>
    <w:rsid w:val="003D7BE7"/>
    <w:rsid w:val="003E3075"/>
    <w:rsid w:val="003F2BCB"/>
    <w:rsid w:val="003F3D44"/>
    <w:rsid w:val="003F5CAB"/>
    <w:rsid w:val="00401D30"/>
    <w:rsid w:val="00410E67"/>
    <w:rsid w:val="00424BFB"/>
    <w:rsid w:val="00437ABC"/>
    <w:rsid w:val="00443FAB"/>
    <w:rsid w:val="0044693C"/>
    <w:rsid w:val="00446B56"/>
    <w:rsid w:val="00465534"/>
    <w:rsid w:val="00470EBE"/>
    <w:rsid w:val="00472C6C"/>
    <w:rsid w:val="00473989"/>
    <w:rsid w:val="0048039A"/>
    <w:rsid w:val="00480C09"/>
    <w:rsid w:val="004821FE"/>
    <w:rsid w:val="00493710"/>
    <w:rsid w:val="004946B2"/>
    <w:rsid w:val="00496BCF"/>
    <w:rsid w:val="00497AED"/>
    <w:rsid w:val="004A2DE7"/>
    <w:rsid w:val="004B7B53"/>
    <w:rsid w:val="004D1C9C"/>
    <w:rsid w:val="004D36A3"/>
    <w:rsid w:val="004E0B99"/>
    <w:rsid w:val="004F6394"/>
    <w:rsid w:val="00501141"/>
    <w:rsid w:val="00505830"/>
    <w:rsid w:val="005103B8"/>
    <w:rsid w:val="00512E02"/>
    <w:rsid w:val="0051633F"/>
    <w:rsid w:val="0052007E"/>
    <w:rsid w:val="005200DF"/>
    <w:rsid w:val="00520D97"/>
    <w:rsid w:val="00523F41"/>
    <w:rsid w:val="00534A50"/>
    <w:rsid w:val="005423D4"/>
    <w:rsid w:val="00551F93"/>
    <w:rsid w:val="005537B0"/>
    <w:rsid w:val="005775C9"/>
    <w:rsid w:val="005776FD"/>
    <w:rsid w:val="00583376"/>
    <w:rsid w:val="00595A98"/>
    <w:rsid w:val="005C17DF"/>
    <w:rsid w:val="005C3607"/>
    <w:rsid w:val="005C3F2F"/>
    <w:rsid w:val="005D009F"/>
    <w:rsid w:val="005D09E0"/>
    <w:rsid w:val="005D4C7B"/>
    <w:rsid w:val="005D5146"/>
    <w:rsid w:val="005D7B81"/>
    <w:rsid w:val="005E411E"/>
    <w:rsid w:val="005E6FA3"/>
    <w:rsid w:val="005F051C"/>
    <w:rsid w:val="005F38D6"/>
    <w:rsid w:val="006142F0"/>
    <w:rsid w:val="00617FD2"/>
    <w:rsid w:val="00623C5A"/>
    <w:rsid w:val="00624151"/>
    <w:rsid w:val="00626F7A"/>
    <w:rsid w:val="00641573"/>
    <w:rsid w:val="006474BB"/>
    <w:rsid w:val="00655CF4"/>
    <w:rsid w:val="006664E9"/>
    <w:rsid w:val="00674106"/>
    <w:rsid w:val="00696341"/>
    <w:rsid w:val="006B1D7F"/>
    <w:rsid w:val="006B5B79"/>
    <w:rsid w:val="006C1F28"/>
    <w:rsid w:val="006C2AC1"/>
    <w:rsid w:val="006C69C0"/>
    <w:rsid w:val="006C74DF"/>
    <w:rsid w:val="006E1854"/>
    <w:rsid w:val="006F4D70"/>
    <w:rsid w:val="00702F65"/>
    <w:rsid w:val="0071064A"/>
    <w:rsid w:val="0071422C"/>
    <w:rsid w:val="007163E2"/>
    <w:rsid w:val="007201F2"/>
    <w:rsid w:val="00722672"/>
    <w:rsid w:val="007321FD"/>
    <w:rsid w:val="0073513F"/>
    <w:rsid w:val="00740E24"/>
    <w:rsid w:val="00744250"/>
    <w:rsid w:val="00776195"/>
    <w:rsid w:val="007764CE"/>
    <w:rsid w:val="00781C83"/>
    <w:rsid w:val="00791AD5"/>
    <w:rsid w:val="007A0BCC"/>
    <w:rsid w:val="007B07AE"/>
    <w:rsid w:val="007B50D0"/>
    <w:rsid w:val="007B6FD2"/>
    <w:rsid w:val="007C7126"/>
    <w:rsid w:val="007D030E"/>
    <w:rsid w:val="007D4801"/>
    <w:rsid w:val="007D6C5E"/>
    <w:rsid w:val="007F1F19"/>
    <w:rsid w:val="007F4210"/>
    <w:rsid w:val="0083583F"/>
    <w:rsid w:val="008452CE"/>
    <w:rsid w:val="008453A0"/>
    <w:rsid w:val="008525D0"/>
    <w:rsid w:val="00857C10"/>
    <w:rsid w:val="0086320D"/>
    <w:rsid w:val="00875924"/>
    <w:rsid w:val="008766BF"/>
    <w:rsid w:val="00877EC7"/>
    <w:rsid w:val="00896E94"/>
    <w:rsid w:val="008B0705"/>
    <w:rsid w:val="008B70A4"/>
    <w:rsid w:val="008C6B3A"/>
    <w:rsid w:val="008C6C44"/>
    <w:rsid w:val="008D2F0C"/>
    <w:rsid w:val="008E4F2E"/>
    <w:rsid w:val="008F58A5"/>
    <w:rsid w:val="009029D9"/>
    <w:rsid w:val="00902C9B"/>
    <w:rsid w:val="009135E0"/>
    <w:rsid w:val="00915CA4"/>
    <w:rsid w:val="0092323D"/>
    <w:rsid w:val="00923343"/>
    <w:rsid w:val="00930D78"/>
    <w:rsid w:val="009355FB"/>
    <w:rsid w:val="00947258"/>
    <w:rsid w:val="00950820"/>
    <w:rsid w:val="00952418"/>
    <w:rsid w:val="0095474F"/>
    <w:rsid w:val="00961071"/>
    <w:rsid w:val="00963062"/>
    <w:rsid w:val="0096365C"/>
    <w:rsid w:val="009735FA"/>
    <w:rsid w:val="00977ECA"/>
    <w:rsid w:val="00982180"/>
    <w:rsid w:val="00983688"/>
    <w:rsid w:val="009928B2"/>
    <w:rsid w:val="009B134E"/>
    <w:rsid w:val="009C106C"/>
    <w:rsid w:val="009C61B2"/>
    <w:rsid w:val="009D5928"/>
    <w:rsid w:val="009E3B6B"/>
    <w:rsid w:val="009E6F29"/>
    <w:rsid w:val="009F6434"/>
    <w:rsid w:val="00A1348E"/>
    <w:rsid w:val="00A20F73"/>
    <w:rsid w:val="00A20F7C"/>
    <w:rsid w:val="00A30052"/>
    <w:rsid w:val="00A314C6"/>
    <w:rsid w:val="00A41969"/>
    <w:rsid w:val="00A43024"/>
    <w:rsid w:val="00A5067F"/>
    <w:rsid w:val="00A60413"/>
    <w:rsid w:val="00A70E13"/>
    <w:rsid w:val="00A83658"/>
    <w:rsid w:val="00A85489"/>
    <w:rsid w:val="00A857DC"/>
    <w:rsid w:val="00A87B1F"/>
    <w:rsid w:val="00A9663E"/>
    <w:rsid w:val="00A971FF"/>
    <w:rsid w:val="00AA253A"/>
    <w:rsid w:val="00AA336E"/>
    <w:rsid w:val="00AA428E"/>
    <w:rsid w:val="00AB261B"/>
    <w:rsid w:val="00AB714C"/>
    <w:rsid w:val="00AD1AA6"/>
    <w:rsid w:val="00AD1CFD"/>
    <w:rsid w:val="00AF0B11"/>
    <w:rsid w:val="00AF0FED"/>
    <w:rsid w:val="00AF1F2A"/>
    <w:rsid w:val="00AF30EF"/>
    <w:rsid w:val="00AF5490"/>
    <w:rsid w:val="00B114A7"/>
    <w:rsid w:val="00B2137F"/>
    <w:rsid w:val="00B25F79"/>
    <w:rsid w:val="00B44F57"/>
    <w:rsid w:val="00B4633B"/>
    <w:rsid w:val="00B73616"/>
    <w:rsid w:val="00B737CA"/>
    <w:rsid w:val="00B764A6"/>
    <w:rsid w:val="00B7676C"/>
    <w:rsid w:val="00B76ABF"/>
    <w:rsid w:val="00B777AF"/>
    <w:rsid w:val="00B80D05"/>
    <w:rsid w:val="00B81789"/>
    <w:rsid w:val="00B92DF1"/>
    <w:rsid w:val="00BA17C9"/>
    <w:rsid w:val="00BC0255"/>
    <w:rsid w:val="00BC2161"/>
    <w:rsid w:val="00BC6B29"/>
    <w:rsid w:val="00BF351A"/>
    <w:rsid w:val="00BF4150"/>
    <w:rsid w:val="00C01AA6"/>
    <w:rsid w:val="00C06257"/>
    <w:rsid w:val="00C062FB"/>
    <w:rsid w:val="00C079B0"/>
    <w:rsid w:val="00C119A9"/>
    <w:rsid w:val="00C14250"/>
    <w:rsid w:val="00C2297C"/>
    <w:rsid w:val="00C23436"/>
    <w:rsid w:val="00C30A56"/>
    <w:rsid w:val="00C35357"/>
    <w:rsid w:val="00C45287"/>
    <w:rsid w:val="00C560F9"/>
    <w:rsid w:val="00C62DC5"/>
    <w:rsid w:val="00C63D1B"/>
    <w:rsid w:val="00C64913"/>
    <w:rsid w:val="00C64BB4"/>
    <w:rsid w:val="00C73CF5"/>
    <w:rsid w:val="00C75BD4"/>
    <w:rsid w:val="00C7655D"/>
    <w:rsid w:val="00C96847"/>
    <w:rsid w:val="00CA1C07"/>
    <w:rsid w:val="00CA53B9"/>
    <w:rsid w:val="00CA5457"/>
    <w:rsid w:val="00CA5C08"/>
    <w:rsid w:val="00CB00C2"/>
    <w:rsid w:val="00CB21B0"/>
    <w:rsid w:val="00CC0C7E"/>
    <w:rsid w:val="00CD1BDF"/>
    <w:rsid w:val="00CD6125"/>
    <w:rsid w:val="00CE2551"/>
    <w:rsid w:val="00CF2624"/>
    <w:rsid w:val="00CF60AA"/>
    <w:rsid w:val="00D037D3"/>
    <w:rsid w:val="00D36448"/>
    <w:rsid w:val="00D37574"/>
    <w:rsid w:val="00D40581"/>
    <w:rsid w:val="00D437A2"/>
    <w:rsid w:val="00D574CA"/>
    <w:rsid w:val="00D6123A"/>
    <w:rsid w:val="00D71BC4"/>
    <w:rsid w:val="00D96786"/>
    <w:rsid w:val="00D97C29"/>
    <w:rsid w:val="00DA454E"/>
    <w:rsid w:val="00DB1DE9"/>
    <w:rsid w:val="00DB7073"/>
    <w:rsid w:val="00DC2F42"/>
    <w:rsid w:val="00DD025A"/>
    <w:rsid w:val="00DD6ADB"/>
    <w:rsid w:val="00DD7D7A"/>
    <w:rsid w:val="00DE18E2"/>
    <w:rsid w:val="00DE5C92"/>
    <w:rsid w:val="00DF255E"/>
    <w:rsid w:val="00E043C0"/>
    <w:rsid w:val="00E051DD"/>
    <w:rsid w:val="00E22E0A"/>
    <w:rsid w:val="00E33F97"/>
    <w:rsid w:val="00E478A7"/>
    <w:rsid w:val="00E71BCC"/>
    <w:rsid w:val="00E72AF9"/>
    <w:rsid w:val="00E77FE1"/>
    <w:rsid w:val="00E819D1"/>
    <w:rsid w:val="00E85E2C"/>
    <w:rsid w:val="00E97C17"/>
    <w:rsid w:val="00EA36A3"/>
    <w:rsid w:val="00EA3809"/>
    <w:rsid w:val="00EA3916"/>
    <w:rsid w:val="00EA77C3"/>
    <w:rsid w:val="00EB0165"/>
    <w:rsid w:val="00EB11D5"/>
    <w:rsid w:val="00EB23E6"/>
    <w:rsid w:val="00EB6A1A"/>
    <w:rsid w:val="00EC5C60"/>
    <w:rsid w:val="00ED0A0D"/>
    <w:rsid w:val="00ED0A3C"/>
    <w:rsid w:val="00ED1995"/>
    <w:rsid w:val="00EF252E"/>
    <w:rsid w:val="00EF5C09"/>
    <w:rsid w:val="00F00AAA"/>
    <w:rsid w:val="00F03DC0"/>
    <w:rsid w:val="00F12558"/>
    <w:rsid w:val="00F13937"/>
    <w:rsid w:val="00F15CF8"/>
    <w:rsid w:val="00F17773"/>
    <w:rsid w:val="00F17C21"/>
    <w:rsid w:val="00F2705D"/>
    <w:rsid w:val="00F422E1"/>
    <w:rsid w:val="00F44E22"/>
    <w:rsid w:val="00F67BBD"/>
    <w:rsid w:val="00F71F8E"/>
    <w:rsid w:val="00F74762"/>
    <w:rsid w:val="00F83E80"/>
    <w:rsid w:val="00F849BA"/>
    <w:rsid w:val="00F95133"/>
    <w:rsid w:val="00FA0F9A"/>
    <w:rsid w:val="00FA18E2"/>
    <w:rsid w:val="00FB0592"/>
    <w:rsid w:val="00FB139B"/>
    <w:rsid w:val="00FE208C"/>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BB638"/>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table" w:customStyle="1" w:styleId="TableGrid1">
    <w:name w:val="Table Grid1"/>
    <w:basedOn w:val="TableNormal"/>
    <w:next w:val="TableGrid"/>
    <w:rsid w:val="00A70E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5726"/>
    <w:rPr>
      <w:b/>
      <w:bCs/>
      <w:sz w:val="24"/>
      <w:szCs w:val="24"/>
      <w:u w:val="single"/>
    </w:rPr>
  </w:style>
  <w:style w:type="paragraph" w:customStyle="1" w:styleId="Default">
    <w:name w:val="Default"/>
    <w:rsid w:val="00D437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3178">
      <w:bodyDiv w:val="1"/>
      <w:marLeft w:val="0"/>
      <w:marRight w:val="0"/>
      <w:marTop w:val="0"/>
      <w:marBottom w:val="0"/>
      <w:divBdr>
        <w:top w:val="none" w:sz="0" w:space="0" w:color="auto"/>
        <w:left w:val="none" w:sz="0" w:space="0" w:color="auto"/>
        <w:bottom w:val="none" w:sz="0" w:space="0" w:color="auto"/>
        <w:right w:val="none" w:sz="0" w:space="0" w:color="auto"/>
      </w:divBdr>
    </w:div>
    <w:div w:id="336006916">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736053531">
      <w:bodyDiv w:val="1"/>
      <w:marLeft w:val="0"/>
      <w:marRight w:val="0"/>
      <w:marTop w:val="0"/>
      <w:marBottom w:val="0"/>
      <w:divBdr>
        <w:top w:val="none" w:sz="0" w:space="0" w:color="auto"/>
        <w:left w:val="none" w:sz="0" w:space="0" w:color="auto"/>
        <w:bottom w:val="none" w:sz="0" w:space="0" w:color="auto"/>
        <w:right w:val="none" w:sz="0" w:space="0" w:color="auto"/>
      </w:divBdr>
    </w:div>
    <w:div w:id="881399481">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265572960">
      <w:bodyDiv w:val="1"/>
      <w:marLeft w:val="0"/>
      <w:marRight w:val="0"/>
      <w:marTop w:val="0"/>
      <w:marBottom w:val="0"/>
      <w:divBdr>
        <w:top w:val="none" w:sz="0" w:space="0" w:color="auto"/>
        <w:left w:val="none" w:sz="0" w:space="0" w:color="auto"/>
        <w:bottom w:val="none" w:sz="0" w:space="0" w:color="auto"/>
        <w:right w:val="none" w:sz="0" w:space="0" w:color="auto"/>
      </w:divBdr>
    </w:div>
    <w:div w:id="1570726151">
      <w:bodyDiv w:val="1"/>
      <w:marLeft w:val="0"/>
      <w:marRight w:val="0"/>
      <w:marTop w:val="0"/>
      <w:marBottom w:val="0"/>
      <w:divBdr>
        <w:top w:val="none" w:sz="0" w:space="0" w:color="auto"/>
        <w:left w:val="none" w:sz="0" w:space="0" w:color="auto"/>
        <w:bottom w:val="none" w:sz="0" w:space="0" w:color="auto"/>
        <w:right w:val="none" w:sz="0" w:space="0" w:color="auto"/>
      </w:divBdr>
    </w:div>
    <w:div w:id="1628656202">
      <w:bodyDiv w:val="1"/>
      <w:marLeft w:val="0"/>
      <w:marRight w:val="0"/>
      <w:marTop w:val="0"/>
      <w:marBottom w:val="0"/>
      <w:divBdr>
        <w:top w:val="none" w:sz="0" w:space="0" w:color="auto"/>
        <w:left w:val="none" w:sz="0" w:space="0" w:color="auto"/>
        <w:bottom w:val="none" w:sz="0" w:space="0" w:color="auto"/>
        <w:right w:val="none" w:sz="0" w:space="0" w:color="auto"/>
      </w:divBdr>
    </w:div>
    <w:div w:id="1739209372">
      <w:bodyDiv w:val="1"/>
      <w:marLeft w:val="0"/>
      <w:marRight w:val="0"/>
      <w:marTop w:val="0"/>
      <w:marBottom w:val="0"/>
      <w:divBdr>
        <w:top w:val="none" w:sz="0" w:space="0" w:color="auto"/>
        <w:left w:val="none" w:sz="0" w:space="0" w:color="auto"/>
        <w:bottom w:val="none" w:sz="0" w:space="0" w:color="auto"/>
        <w:right w:val="none" w:sz="0" w:space="0" w:color="auto"/>
      </w:divBdr>
    </w:div>
    <w:div w:id="21231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ldefense.proofpoint.com/v2/url?u=http-3A__www.dbtmo.org_dbtmo1.0_&amp;d=DwMGaQ&amp;c=C3yH15_3dPz7tObvsoeuOPbPNGkVBZwqD8Lzw8CKvIM&amp;r=KlKn0K5535GKr0xuo3JqZOPs14oF85GgMvYlE6jUkuHsVvgowJkM623_wuty4fxO&amp;m=8JY4jFX7MPyAw-X-_Tnw9CgCqcrn4TkL2vEt1sHtReQ&amp;s=9g0enl6DGlr50svn0GNusjZG70MGTJlL4XkUK8awACw&am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dbt-2Dlbc.org_&amp;d=DwMGaQ&amp;c=C3yH15_3dPz7tObvsoeuOPbPNGkVBZwqD8Lzw8CKvIM&amp;r=KlKn0K5535GKr0xuo3JqZOPs14oF85GgMvYlE6jUkuHsVvgowJkM623_wuty4fxO&amp;m=8JY4jFX7MPyAw-X-_Tnw9CgCqcrn4TkL2vEt1sHtReQ&amp;s=OegY9_PzsZX-YZ9AB79AcMBLtV1pc2qjPLCKWRuyPkI&amp;e=" TargetMode="External"/><Relationship Id="rId17" Type="http://schemas.openxmlformats.org/officeDocument/2006/relationships/hyperlink" Target="https://urldefense.proofpoint.com/v2/url?u=https-3A__tfcbt.org_members_&amp;d=DwMGaQ&amp;c=C3yH15_3dPz7tObvsoeuOPbPNGkVBZwqD8Lzw8CKvIM&amp;r=KlKn0K5535GKr0xuo3JqZOPs14oF85GgMvYlE6jUkuHsVvgowJkM623_wuty4fxO&amp;m=8JY4jFX7MPyAw-X-_Tnw9CgCqcrn4TkL2vEt1sHtReQ&amp;s=gCQ5yEvafNO80no0iLukHiNpLptB2kYNia3sAEGUHXc&amp;e=" TargetMode="External"/><Relationship Id="rId2" Type="http://schemas.openxmlformats.org/officeDocument/2006/relationships/numbering" Target="numbering.xml"/><Relationship Id="rId16" Type="http://schemas.openxmlformats.org/officeDocument/2006/relationships/hyperlink" Target="https://urldefense.proofpoint.com/v2/url?u=http-3A__emdria.site-2Dym.com_&amp;d=DwMGaQ&amp;c=C3yH15_3dPz7tObvsoeuOPbPNGkVBZwqD8Lzw8CKvIM&amp;r=KlKn0K5535GKr0xuo3JqZOPs14oF85GgMvYlE6jUkuHsVvgowJkM623_wuty4fxO&amp;m=8JY4jFX7MPyAw-X-_Tnw9CgCqcrn4TkL2vEt1sHtReQ&amp;s=SLDSL74J9j44x9JM3NGSencUAcslJI7IuK9ZzfucTKE&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rldefense.proofpoint.com/v2/url?u=https-3A__tfcbt.org_members_&amp;d=DwMGaQ&amp;c=C3yH15_3dPz7tObvsoeuOPbPNGkVBZwqD8Lzw8CKvIM&amp;r=KlKn0K5535GKr0xuo3JqZOPs14oF85GgMvYlE6jUkuHsVvgowJkM623_wuty4fxO&amp;m=8JY4jFX7MPyAw-X-_Tnw9CgCqcrn4TkL2vEt1sHtReQ&amp;s=gCQ5yEvafNO80no0iLukHiNpLptB2kYNia3sAEGUHXc&amp;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ldefense.proofpoint.com/v2/url?u=https-3A__www.moacts.org_&amp;d=DwMGaQ&amp;c=C3yH15_3dPz7tObvsoeuOPbPNGkVBZwqD8Lzw8CKvIM&amp;r=KlKn0K5535GKr0xuo3JqZOPs14oF85GgMvYlE6jUkuHsVvgowJkM623_wuty4fxO&amp;m=8JY4jFX7MPyAw-X-_Tnw9CgCqcrn4TkL2vEt1sHtReQ&amp;s=0R337ZNLA75DLW16fzJG6i7NNy8VFHkdlAIhE0JDL7s&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C7A3-166F-4302-A154-FA440237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8138</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Stephanie M. Sands</cp:lastModifiedBy>
  <cp:revision>3</cp:revision>
  <cp:lastPrinted>2015-06-25T20:16:00Z</cp:lastPrinted>
  <dcterms:created xsi:type="dcterms:W3CDTF">2020-06-23T13:19:00Z</dcterms:created>
  <dcterms:modified xsi:type="dcterms:W3CDTF">2020-06-23T13:20:00Z</dcterms:modified>
</cp:coreProperties>
</file>