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5A4FE" w14:textId="77777777" w:rsidR="00D574CA" w:rsidRPr="00B777AF" w:rsidRDefault="00230FE4" w:rsidP="00D574CA">
      <w:pPr>
        <w:pStyle w:val="PolicyMainHead"/>
        <w:tabs>
          <w:tab w:val="left" w:pos="360"/>
        </w:tabs>
        <w:spacing w:after="0" w:line="240" w:lineRule="auto"/>
        <w:rPr>
          <w:rFonts w:ascii="Times New Roman" w:hAnsi="Times New Roman"/>
          <w:color w:val="00548C"/>
          <w:sz w:val="36"/>
        </w:rPr>
      </w:pPr>
      <w:r>
        <w:rPr>
          <w:rFonts w:ascii="Times New Roman" w:hAnsi="Times New Roman"/>
          <w:color w:val="00548C"/>
          <w:sz w:val="36"/>
        </w:rPr>
        <w:t xml:space="preserve">Clinical Policy: </w:t>
      </w:r>
      <w:r w:rsidR="003B0C81">
        <w:rPr>
          <w:rFonts w:ascii="Times New Roman" w:hAnsi="Times New Roman"/>
          <w:color w:val="00548C"/>
          <w:sz w:val="36"/>
        </w:rPr>
        <w:t>Urodynamic Testing</w:t>
      </w:r>
    </w:p>
    <w:p w14:paraId="6BF76B14" w14:textId="77777777" w:rsidR="00B777AF" w:rsidRDefault="00B777AF" w:rsidP="00D574CA">
      <w:pPr>
        <w:pStyle w:val="PolicyMainHead"/>
        <w:tabs>
          <w:tab w:val="left" w:pos="360"/>
        </w:tabs>
        <w:spacing w:after="0" w:line="240" w:lineRule="auto"/>
        <w:rPr>
          <w:color w:val="00548C"/>
          <w:sz w:val="24"/>
        </w:rPr>
        <w:sectPr w:rsidR="00B777AF" w:rsidSect="00B777AF">
          <w:headerReference w:type="default" r:id="rId10"/>
          <w:footerReference w:type="default" r:id="rId11"/>
          <w:headerReference w:type="first" r:id="rId12"/>
          <w:footerReference w:type="first" r:id="rId13"/>
          <w:pgSz w:w="12240" w:h="15840" w:code="1"/>
          <w:pgMar w:top="1440" w:right="907" w:bottom="1152" w:left="1440" w:header="576" w:footer="288" w:gutter="0"/>
          <w:cols w:space="720"/>
          <w:titlePg/>
          <w:docGrid w:linePitch="360"/>
        </w:sectPr>
      </w:pPr>
    </w:p>
    <w:p w14:paraId="0DD3D10F" w14:textId="77777777" w:rsidR="00B5243B" w:rsidRPr="003D7BE7" w:rsidRDefault="00D574CA" w:rsidP="00B5243B">
      <w:pPr>
        <w:pStyle w:val="PolicyMainHead"/>
        <w:tabs>
          <w:tab w:val="left" w:pos="360"/>
        </w:tabs>
        <w:spacing w:after="0" w:line="240" w:lineRule="auto"/>
        <w:rPr>
          <w:rFonts w:ascii="Times New Roman" w:hAnsi="Times New Roman"/>
          <w:color w:val="00548C"/>
          <w:sz w:val="24"/>
          <w:szCs w:val="24"/>
        </w:rPr>
        <w:sectPr w:rsidR="00B5243B" w:rsidRPr="003D7BE7" w:rsidSect="00480C09">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sidR="003B0C81">
        <w:rPr>
          <w:rFonts w:ascii="Times New Roman" w:hAnsi="Times New Roman"/>
          <w:color w:val="00548C"/>
          <w:sz w:val="24"/>
          <w:szCs w:val="24"/>
        </w:rPr>
        <w:t>MP.98</w:t>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5243B">
        <w:rPr>
          <w:rFonts w:ascii="Times New Roman" w:hAnsi="Times New Roman"/>
          <w:color w:val="00548C"/>
          <w:sz w:val="24"/>
          <w:szCs w:val="24"/>
        </w:rPr>
        <w:t xml:space="preserve">     </w:t>
      </w:r>
      <w:hyperlink w:anchor="Coding_Implications" w:history="1">
        <w:r w:rsidR="00B5243B" w:rsidRPr="00875924">
          <w:rPr>
            <w:rStyle w:val="Hyperlink"/>
            <w:rFonts w:ascii="Times New Roman" w:hAnsi="Times New Roman"/>
            <w:sz w:val="24"/>
            <w:szCs w:val="24"/>
          </w:rPr>
          <w:t>Coding Implications</w:t>
        </w:r>
      </w:hyperlink>
      <w:r w:rsidR="00B5243B" w:rsidRPr="003D7BE7">
        <w:rPr>
          <w:rFonts w:ascii="Times New Roman" w:hAnsi="Times New Roman"/>
          <w:color w:val="00548C"/>
          <w:sz w:val="24"/>
          <w:szCs w:val="24"/>
        </w:rPr>
        <w:t xml:space="preserve"> </w:t>
      </w:r>
    </w:p>
    <w:p w14:paraId="1207EA6B" w14:textId="792E23B4" w:rsidR="00B5243B" w:rsidRDefault="00B5243B" w:rsidP="00B5243B">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61536B">
        <w:rPr>
          <w:rFonts w:ascii="Times New Roman" w:hAnsi="Times New Roman"/>
          <w:color w:val="00548C"/>
          <w:sz w:val="24"/>
          <w:szCs w:val="24"/>
        </w:rPr>
        <w:t>09/1</w:t>
      </w:r>
      <w:r w:rsidR="00EC54BC">
        <w:rPr>
          <w:rFonts w:ascii="Times New Roman" w:hAnsi="Times New Roman"/>
          <w:color w:val="00548C"/>
          <w:sz w:val="24"/>
          <w:szCs w:val="24"/>
        </w:rPr>
        <w:t>9</w:t>
      </w:r>
    </w:p>
    <w:p w14:paraId="54B8C6AA" w14:textId="77777777" w:rsidR="00B5243B" w:rsidRDefault="00B5243B" w:rsidP="00B5243B">
      <w:pPr>
        <w:pStyle w:val="PolicyMainHead"/>
        <w:tabs>
          <w:tab w:val="left" w:pos="360"/>
        </w:tabs>
        <w:spacing w:after="0" w:line="240" w:lineRule="auto"/>
        <w:jc w:val="right"/>
        <w:rPr>
          <w:rStyle w:val="Strong"/>
          <w:rFonts w:ascii="Times New Roman" w:hAnsi="Times New Roman"/>
          <w:b w:val="0"/>
          <w:bCs w:val="0"/>
          <w:u w:val="single"/>
        </w:rPr>
        <w:sectPr w:rsidR="00B5243B" w:rsidSect="00875924">
          <w:type w:val="continuous"/>
          <w:pgSz w:w="12240" w:h="15840" w:code="1"/>
          <w:pgMar w:top="1440" w:right="1170" w:bottom="1440" w:left="1440" w:header="576" w:footer="288" w:gutter="0"/>
          <w:cols w:num="2" w:space="720"/>
          <w:titlePg/>
          <w:docGrid w:linePitch="360"/>
        </w:sectPr>
      </w:pPr>
      <w:r w:rsidRPr="009B189D">
        <w:rPr>
          <w:rStyle w:val="Hyperlink"/>
          <w:rFonts w:ascii="Times New Roman" w:hAnsi="Times New Roman"/>
          <w:sz w:val="24"/>
          <w:szCs w:val="24"/>
        </w:rPr>
        <w:t>Revision Log</w:t>
      </w:r>
    </w:p>
    <w:p w14:paraId="4FAA3FA6" w14:textId="77777777" w:rsidR="00875924" w:rsidRPr="00F958DF" w:rsidRDefault="00875924" w:rsidP="00B5243B">
      <w:pPr>
        <w:pStyle w:val="PolicyMainHead"/>
        <w:tabs>
          <w:tab w:val="left" w:pos="360"/>
        </w:tabs>
        <w:spacing w:after="0" w:line="240" w:lineRule="auto"/>
        <w:rPr>
          <w:rStyle w:val="Strong"/>
          <w:rFonts w:ascii="Times New Roman" w:hAnsi="Times New Roman"/>
          <w:b w:val="0"/>
          <w:bCs w:val="0"/>
          <w:sz w:val="24"/>
          <w:szCs w:val="24"/>
          <w:u w:val="single"/>
        </w:rPr>
        <w:sectPr w:rsidR="00875924" w:rsidRPr="00F958DF" w:rsidSect="00875924">
          <w:type w:val="continuous"/>
          <w:pgSz w:w="12240" w:h="15840" w:code="1"/>
          <w:pgMar w:top="1440" w:right="1170" w:bottom="1440" w:left="1440" w:header="576" w:footer="288" w:gutter="0"/>
          <w:cols w:num="2" w:space="720"/>
          <w:titlePg/>
          <w:docGrid w:linePitch="360"/>
        </w:sectPr>
      </w:pPr>
    </w:p>
    <w:p w14:paraId="51589F9E" w14:textId="77777777" w:rsidR="00972CD7" w:rsidRPr="005D7B81" w:rsidRDefault="00972CD7" w:rsidP="00972CD7">
      <w:pPr>
        <w:pStyle w:val="NormalWeb"/>
        <w:spacing w:before="0" w:beforeAutospacing="0" w:after="0" w:afterAutospacing="0"/>
        <w:rPr>
          <w:rStyle w:val="Strong"/>
          <w:rFonts w:ascii="Times New Roman" w:hAnsi="Times New Roman" w:cs="Times New Roman"/>
          <w:b w:val="0"/>
          <w:bCs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Pr>
          <w:rFonts w:ascii="Times New Roman" w:hAnsi="Times New Roman" w:cs="Times New Roman"/>
          <w:b/>
          <w:color w:val="00548C"/>
        </w:rPr>
        <w:t>is</w:t>
      </w:r>
      <w:r w:rsidRPr="005D7B81">
        <w:rPr>
          <w:rFonts w:ascii="Times New Roman" w:hAnsi="Times New Roman" w:cs="Times New Roman"/>
          <w:b/>
          <w:color w:val="00548C"/>
        </w:rPr>
        <w:t xml:space="preserve"> policy for</w:t>
      </w:r>
      <w:r>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Pr>
          <w:rFonts w:ascii="Times New Roman" w:hAnsi="Times New Roman" w:cs="Times New Roman"/>
          <w:b/>
          <w:color w:val="00548C"/>
        </w:rPr>
        <w:t>.</w:t>
      </w:r>
    </w:p>
    <w:p w14:paraId="4FF041D8" w14:textId="77777777" w:rsidR="00C73CF5" w:rsidRDefault="00C73CF5" w:rsidP="00875924">
      <w:pPr>
        <w:pStyle w:val="NormalWeb"/>
        <w:spacing w:before="0" w:beforeAutospacing="0" w:after="0" w:afterAutospacing="0"/>
        <w:jc w:val="center"/>
        <w:rPr>
          <w:rStyle w:val="Strong"/>
          <w:rFonts w:ascii="Times New Roman" w:hAnsi="Times New Roman" w:cs="Times New Roman"/>
          <w:b w:val="0"/>
          <w:bCs w:val="0"/>
          <w:u w:val="single"/>
        </w:rPr>
      </w:pPr>
    </w:p>
    <w:p w14:paraId="4F1AE651" w14:textId="77777777" w:rsidR="00583376" w:rsidRPr="00BB0E58" w:rsidRDefault="00583376" w:rsidP="00BB0E58">
      <w:pPr>
        <w:pStyle w:val="Heading1"/>
        <w:rPr>
          <w:sz w:val="24"/>
        </w:rPr>
      </w:pPr>
      <w:r w:rsidRPr="00BB0E58">
        <w:rPr>
          <w:sz w:val="24"/>
        </w:rPr>
        <w:t xml:space="preserve">Description </w:t>
      </w:r>
    </w:p>
    <w:p w14:paraId="56028C03" w14:textId="77777777" w:rsidR="005F0E0C" w:rsidRPr="005F0E0C" w:rsidRDefault="005F0E0C" w:rsidP="005F0E0C">
      <w:pPr>
        <w:jc w:val="both"/>
      </w:pPr>
      <w:r w:rsidRPr="005F0E0C">
        <w:t>Urodynamic testing is an important part of the comprehensive evaluation of voiding dysfunction. The clinician must exercise clinical judgment in the appropriate selection of urodynamic tests following an appropriate evaluation and symptom characterization.  The purpose of this policy is to define medical necessity criteria for commonly used urodynamic</w:t>
      </w:r>
      <w:r w:rsidR="004E60D8">
        <w:t xml:space="preserve"> studies</w:t>
      </w:r>
      <w:r w:rsidRPr="005F0E0C">
        <w:t xml:space="preserve">.  </w:t>
      </w:r>
    </w:p>
    <w:p w14:paraId="3AC24015" w14:textId="77777777" w:rsidR="00ED0A0D" w:rsidRPr="005F0E0C" w:rsidRDefault="00ED0A0D" w:rsidP="00196935"/>
    <w:p w14:paraId="49213C2C" w14:textId="77777777" w:rsidR="00583376" w:rsidRPr="00B777AF" w:rsidRDefault="00583376">
      <w:pPr>
        <w:pStyle w:val="Heading2"/>
        <w:rPr>
          <w:u w:val="none"/>
        </w:rPr>
      </w:pPr>
      <w:r w:rsidRPr="00B777AF">
        <w:rPr>
          <w:u w:val="none"/>
        </w:rPr>
        <w:t>Policy/Criteria</w:t>
      </w:r>
    </w:p>
    <w:p w14:paraId="1B0E35F5" w14:textId="77777777" w:rsidR="003840CC" w:rsidRPr="004E60D8" w:rsidRDefault="00F74762" w:rsidP="005F0E0C">
      <w:pPr>
        <w:numPr>
          <w:ilvl w:val="0"/>
          <w:numId w:val="10"/>
        </w:numPr>
        <w:ind w:left="360"/>
        <w:rPr>
          <w:bCs/>
          <w:color w:val="000000"/>
        </w:rPr>
      </w:pPr>
      <w:r w:rsidRPr="004E60D8">
        <w:rPr>
          <w:bCs/>
          <w:color w:val="000000"/>
        </w:rPr>
        <w:t>It is the policy of</w:t>
      </w:r>
      <w:r w:rsidR="00E97C17" w:rsidRPr="004E60D8">
        <w:rPr>
          <w:bCs/>
          <w:color w:val="000000"/>
        </w:rPr>
        <w:t xml:space="preserve"> </w:t>
      </w:r>
      <w:r w:rsidR="00A83658" w:rsidRPr="004E60D8">
        <w:rPr>
          <w:bCs/>
          <w:color w:val="000000"/>
        </w:rPr>
        <w:t>h</w:t>
      </w:r>
      <w:r w:rsidR="00E97C17" w:rsidRPr="004E60D8">
        <w:rPr>
          <w:bCs/>
          <w:color w:val="000000"/>
        </w:rPr>
        <w:t xml:space="preserve">ealth </w:t>
      </w:r>
      <w:r w:rsidR="00A83658" w:rsidRPr="004E60D8">
        <w:rPr>
          <w:bCs/>
          <w:color w:val="000000"/>
        </w:rPr>
        <w:t>p</w:t>
      </w:r>
      <w:r w:rsidR="00E97C17" w:rsidRPr="004E60D8">
        <w:rPr>
          <w:bCs/>
          <w:color w:val="000000"/>
        </w:rPr>
        <w:t>lans affiliated with</w:t>
      </w:r>
      <w:r w:rsidRPr="004E60D8">
        <w:rPr>
          <w:bCs/>
          <w:color w:val="000000"/>
        </w:rPr>
        <w:t xml:space="preserve"> Centene Corporation</w:t>
      </w:r>
      <w:r w:rsidR="00C75BD4" w:rsidRPr="004E60D8">
        <w:rPr>
          <w:bCs/>
          <w:color w:val="000000"/>
          <w:vertAlign w:val="superscript"/>
        </w:rPr>
        <w:t>®</w:t>
      </w:r>
      <w:r w:rsidRPr="004E60D8">
        <w:rPr>
          <w:bCs/>
          <w:color w:val="000000"/>
        </w:rPr>
        <w:t xml:space="preserve"> that </w:t>
      </w:r>
      <w:r w:rsidR="005F0E0C" w:rsidRPr="004E60D8">
        <w:rPr>
          <w:bCs/>
          <w:color w:val="000000"/>
        </w:rPr>
        <w:t>urodynamic testing</w:t>
      </w:r>
      <w:r w:rsidRPr="004E60D8">
        <w:rPr>
          <w:bCs/>
          <w:color w:val="000000"/>
        </w:rPr>
        <w:t xml:space="preserve"> is </w:t>
      </w:r>
      <w:r w:rsidRPr="004E60D8">
        <w:rPr>
          <w:b/>
          <w:bCs/>
          <w:color w:val="000000"/>
        </w:rPr>
        <w:t>medically necessary</w:t>
      </w:r>
      <w:r w:rsidRPr="004E60D8">
        <w:rPr>
          <w:bCs/>
          <w:color w:val="000000"/>
        </w:rPr>
        <w:t xml:space="preserve"> </w:t>
      </w:r>
      <w:r w:rsidR="005F0E0C" w:rsidRPr="004E60D8">
        <w:rPr>
          <w:bCs/>
          <w:color w:val="000000"/>
        </w:rPr>
        <w:t xml:space="preserve">to assist in the diagnosis of urologic dysfunction with </w:t>
      </w:r>
      <w:r w:rsidR="00443DC2" w:rsidRPr="002E1061">
        <w:rPr>
          <w:b/>
          <w:bCs/>
          <w:color w:val="000000"/>
        </w:rPr>
        <w:t>any</w:t>
      </w:r>
      <w:r w:rsidR="00443DC2">
        <w:rPr>
          <w:bCs/>
          <w:color w:val="000000"/>
        </w:rPr>
        <w:t xml:space="preserve"> </w:t>
      </w:r>
      <w:r w:rsidR="005F0E0C" w:rsidRPr="004E60D8">
        <w:rPr>
          <w:bCs/>
          <w:color w:val="000000"/>
        </w:rPr>
        <w:t>of the following indications</w:t>
      </w:r>
      <w:r w:rsidRPr="004E60D8">
        <w:rPr>
          <w:bCs/>
          <w:color w:val="000000"/>
        </w:rPr>
        <w:t>:</w:t>
      </w:r>
    </w:p>
    <w:p w14:paraId="0B38C6E8" w14:textId="3B6A350D" w:rsidR="005F0E0C" w:rsidRPr="004E60D8" w:rsidRDefault="005F0E0C" w:rsidP="005F0E0C">
      <w:pPr>
        <w:numPr>
          <w:ilvl w:val="1"/>
          <w:numId w:val="10"/>
        </w:numPr>
        <w:ind w:left="720"/>
      </w:pPr>
      <w:r w:rsidRPr="004E60D8">
        <w:t xml:space="preserve">Uncertain diagnosis and inability to develop an appropriate initial treatment plan based on the clinical diagnostic evaluation; </w:t>
      </w:r>
    </w:p>
    <w:p w14:paraId="1C337006" w14:textId="7481FF53" w:rsidR="005F0E0C" w:rsidRPr="004E60D8" w:rsidRDefault="005F0E0C" w:rsidP="005F0E0C">
      <w:pPr>
        <w:numPr>
          <w:ilvl w:val="1"/>
          <w:numId w:val="10"/>
        </w:numPr>
        <w:ind w:left="720"/>
      </w:pPr>
      <w:r w:rsidRPr="004E60D8">
        <w:t xml:space="preserve">Failure to respond to an adequate therapeutic trial; </w:t>
      </w:r>
    </w:p>
    <w:p w14:paraId="7C5D636D" w14:textId="3A2CF78F" w:rsidR="005F0E0C" w:rsidRPr="004E60D8" w:rsidRDefault="005F0E0C" w:rsidP="005F0E0C">
      <w:pPr>
        <w:numPr>
          <w:ilvl w:val="1"/>
          <w:numId w:val="10"/>
        </w:numPr>
        <w:ind w:left="720"/>
      </w:pPr>
      <w:r w:rsidRPr="004E60D8">
        <w:t>Consideration of urologic surgical intervention, particularly if previous surgery failed or if the patient</w:t>
      </w:r>
      <w:r w:rsidR="002B0856">
        <w:t xml:space="preserve"> is a high surgical risk; </w:t>
      </w:r>
    </w:p>
    <w:p w14:paraId="25BC5738" w14:textId="77777777" w:rsidR="005F0E0C" w:rsidRPr="004E60D8" w:rsidRDefault="005F0E0C" w:rsidP="005F0E0C">
      <w:pPr>
        <w:numPr>
          <w:ilvl w:val="1"/>
          <w:numId w:val="10"/>
        </w:numPr>
        <w:ind w:left="720"/>
      </w:pPr>
      <w:r w:rsidRPr="004E60D8">
        <w:t>Presence of other comorbid conditions such as</w:t>
      </w:r>
      <w:r w:rsidR="00EC54BC">
        <w:t xml:space="preserve"> any of the following</w:t>
      </w:r>
      <w:r w:rsidRPr="004E60D8">
        <w:t>:</w:t>
      </w:r>
    </w:p>
    <w:p w14:paraId="456AB451" w14:textId="77777777" w:rsidR="005F0E0C" w:rsidRPr="004E60D8" w:rsidRDefault="005F0E0C" w:rsidP="005F0E0C">
      <w:pPr>
        <w:pStyle w:val="ListParagraph"/>
        <w:numPr>
          <w:ilvl w:val="1"/>
          <w:numId w:val="11"/>
        </w:numPr>
        <w:spacing w:after="0" w:line="240" w:lineRule="auto"/>
        <w:ind w:left="1080"/>
        <w:jc w:val="both"/>
        <w:rPr>
          <w:rFonts w:ascii="Times New Roman" w:hAnsi="Times New Roman"/>
          <w:sz w:val="24"/>
          <w:szCs w:val="24"/>
        </w:rPr>
      </w:pPr>
      <w:r w:rsidRPr="004E60D8">
        <w:rPr>
          <w:rFonts w:ascii="Times New Roman" w:hAnsi="Times New Roman"/>
          <w:sz w:val="24"/>
          <w:szCs w:val="24"/>
        </w:rPr>
        <w:t>Incontinence associated with recurrent symptomatic urinary tract infection;</w:t>
      </w:r>
    </w:p>
    <w:p w14:paraId="29947160" w14:textId="77777777" w:rsidR="005F0E0C" w:rsidRPr="004E60D8" w:rsidRDefault="005F0E0C" w:rsidP="005F0E0C">
      <w:pPr>
        <w:pStyle w:val="ListParagraph"/>
        <w:numPr>
          <w:ilvl w:val="1"/>
          <w:numId w:val="11"/>
        </w:numPr>
        <w:spacing w:after="0" w:line="240" w:lineRule="auto"/>
        <w:ind w:left="1080"/>
        <w:jc w:val="both"/>
        <w:rPr>
          <w:rFonts w:ascii="Times New Roman" w:hAnsi="Times New Roman"/>
          <w:sz w:val="24"/>
          <w:szCs w:val="24"/>
        </w:rPr>
      </w:pPr>
      <w:r w:rsidRPr="004E60D8">
        <w:rPr>
          <w:rFonts w:ascii="Times New Roman" w:hAnsi="Times New Roman"/>
          <w:sz w:val="24"/>
          <w:szCs w:val="24"/>
        </w:rPr>
        <w:t>Persistent symptoms of difficult bladder emptying;</w:t>
      </w:r>
    </w:p>
    <w:p w14:paraId="3ECE4392" w14:textId="77777777" w:rsidR="005F0E0C" w:rsidRPr="004E60D8" w:rsidRDefault="005F0E0C" w:rsidP="005F0E0C">
      <w:pPr>
        <w:pStyle w:val="ListParagraph"/>
        <w:numPr>
          <w:ilvl w:val="1"/>
          <w:numId w:val="11"/>
        </w:numPr>
        <w:spacing w:after="0" w:line="240" w:lineRule="auto"/>
        <w:ind w:left="1080"/>
        <w:jc w:val="both"/>
        <w:rPr>
          <w:rFonts w:ascii="Times New Roman" w:hAnsi="Times New Roman"/>
          <w:sz w:val="24"/>
          <w:szCs w:val="24"/>
        </w:rPr>
      </w:pPr>
      <w:r w:rsidRPr="004E60D8">
        <w:rPr>
          <w:rFonts w:ascii="Times New Roman" w:hAnsi="Times New Roman"/>
          <w:sz w:val="24"/>
          <w:szCs w:val="24"/>
        </w:rPr>
        <w:t>History of previous anti-incontinence surgery or radical pelvic surgery;</w:t>
      </w:r>
    </w:p>
    <w:p w14:paraId="0A030DC3" w14:textId="77777777" w:rsidR="005F0E0C" w:rsidRPr="004E60D8" w:rsidRDefault="005F0E0C" w:rsidP="005F0E0C">
      <w:pPr>
        <w:pStyle w:val="ListParagraph"/>
        <w:numPr>
          <w:ilvl w:val="1"/>
          <w:numId w:val="11"/>
        </w:numPr>
        <w:spacing w:after="0" w:line="240" w:lineRule="auto"/>
        <w:ind w:left="1080"/>
        <w:jc w:val="both"/>
        <w:rPr>
          <w:rFonts w:ascii="Times New Roman" w:hAnsi="Times New Roman"/>
          <w:sz w:val="24"/>
          <w:szCs w:val="24"/>
        </w:rPr>
      </w:pPr>
      <w:r w:rsidRPr="004E60D8">
        <w:rPr>
          <w:rFonts w:ascii="Times New Roman" w:hAnsi="Times New Roman"/>
          <w:sz w:val="24"/>
          <w:szCs w:val="24"/>
        </w:rPr>
        <w:t>Symptomatic pelvic prolapse;</w:t>
      </w:r>
    </w:p>
    <w:p w14:paraId="32339D86" w14:textId="77777777" w:rsidR="005F0E0C" w:rsidRPr="004E60D8" w:rsidRDefault="005F0E0C" w:rsidP="005F0E0C">
      <w:pPr>
        <w:pStyle w:val="ListParagraph"/>
        <w:numPr>
          <w:ilvl w:val="1"/>
          <w:numId w:val="11"/>
        </w:numPr>
        <w:spacing w:after="0" w:line="240" w:lineRule="auto"/>
        <w:ind w:left="1080"/>
        <w:jc w:val="both"/>
        <w:rPr>
          <w:rFonts w:ascii="Times New Roman" w:hAnsi="Times New Roman"/>
          <w:sz w:val="24"/>
          <w:szCs w:val="24"/>
        </w:rPr>
      </w:pPr>
      <w:r w:rsidRPr="004E60D8">
        <w:rPr>
          <w:rFonts w:ascii="Times New Roman" w:hAnsi="Times New Roman"/>
          <w:sz w:val="24"/>
          <w:szCs w:val="24"/>
        </w:rPr>
        <w:t>Abnormal post-void-residual urinalysis;</w:t>
      </w:r>
    </w:p>
    <w:p w14:paraId="012EF38D" w14:textId="6A21EBB5" w:rsidR="005F0E0C" w:rsidRPr="004E60D8" w:rsidRDefault="005F0E0C" w:rsidP="005F0E0C">
      <w:pPr>
        <w:pStyle w:val="ListParagraph"/>
        <w:numPr>
          <w:ilvl w:val="1"/>
          <w:numId w:val="11"/>
        </w:numPr>
        <w:spacing w:after="0" w:line="240" w:lineRule="auto"/>
        <w:ind w:left="1080"/>
        <w:jc w:val="both"/>
        <w:rPr>
          <w:rFonts w:ascii="Times New Roman" w:hAnsi="Times New Roman"/>
          <w:bCs/>
          <w:color w:val="000000"/>
        </w:rPr>
      </w:pPr>
      <w:r w:rsidRPr="004E60D8">
        <w:rPr>
          <w:rFonts w:ascii="Times New Roman" w:hAnsi="Times New Roman"/>
          <w:sz w:val="24"/>
          <w:szCs w:val="24"/>
        </w:rPr>
        <w:t xml:space="preserve">Diabetes mellitus with secondary urinary incontinence; </w:t>
      </w:r>
    </w:p>
    <w:p w14:paraId="247CAD15" w14:textId="77777777" w:rsidR="006D1CB4" w:rsidRPr="002E1061" w:rsidRDefault="005F0E0C" w:rsidP="001C2757">
      <w:pPr>
        <w:pStyle w:val="ListParagraph"/>
        <w:numPr>
          <w:ilvl w:val="1"/>
          <w:numId w:val="11"/>
        </w:numPr>
        <w:spacing w:after="0" w:line="240" w:lineRule="auto"/>
        <w:ind w:left="1080"/>
        <w:jc w:val="both"/>
        <w:rPr>
          <w:rFonts w:ascii="Times New Roman" w:hAnsi="Times New Roman"/>
          <w:bCs/>
          <w:color w:val="000000"/>
        </w:rPr>
      </w:pPr>
      <w:r w:rsidRPr="004E60D8">
        <w:rPr>
          <w:rFonts w:ascii="Times New Roman" w:hAnsi="Times New Roman"/>
          <w:sz w:val="24"/>
          <w:szCs w:val="24"/>
        </w:rPr>
        <w:t>Neurological conditions affecting voiding function (neurogenic bladder) such as multiple sclerosis, Parkinson’s disease, and spinal cord lesions or injury</w:t>
      </w:r>
      <w:r w:rsidR="006D1CB4">
        <w:rPr>
          <w:rFonts w:ascii="Times New Roman" w:hAnsi="Times New Roman"/>
          <w:sz w:val="24"/>
          <w:szCs w:val="24"/>
        </w:rPr>
        <w:t>;</w:t>
      </w:r>
    </w:p>
    <w:p w14:paraId="460F0C85" w14:textId="6E1495D2" w:rsidR="006D1CB4" w:rsidRPr="002E1061" w:rsidRDefault="006D1CB4" w:rsidP="002E1061">
      <w:pPr>
        <w:pStyle w:val="ListParagraph"/>
        <w:numPr>
          <w:ilvl w:val="1"/>
          <w:numId w:val="11"/>
        </w:numPr>
        <w:spacing w:after="0" w:line="240" w:lineRule="auto"/>
        <w:ind w:left="1080"/>
        <w:jc w:val="both"/>
        <w:rPr>
          <w:bCs/>
          <w:color w:val="000000"/>
        </w:rPr>
      </w:pPr>
      <w:r>
        <w:rPr>
          <w:rFonts w:ascii="Times New Roman" w:hAnsi="Times New Roman"/>
          <w:sz w:val="24"/>
          <w:szCs w:val="24"/>
        </w:rPr>
        <w:t>Complex anorectal malformation.</w:t>
      </w:r>
    </w:p>
    <w:p w14:paraId="61192918" w14:textId="77777777" w:rsidR="00FB0592" w:rsidRPr="006D1CB4" w:rsidRDefault="00FB0592" w:rsidP="002E1061">
      <w:pPr>
        <w:pStyle w:val="ListParagraph"/>
        <w:spacing w:after="0" w:line="240" w:lineRule="auto"/>
        <w:ind w:left="1080"/>
        <w:jc w:val="both"/>
        <w:rPr>
          <w:b/>
          <w:bCs/>
        </w:rPr>
      </w:pPr>
    </w:p>
    <w:p w14:paraId="1D4A69F4" w14:textId="77777777" w:rsidR="005F0E0C" w:rsidRPr="004E60D8" w:rsidRDefault="005F0E0C" w:rsidP="005F0E0C">
      <w:pPr>
        <w:numPr>
          <w:ilvl w:val="0"/>
          <w:numId w:val="10"/>
        </w:numPr>
        <w:ind w:left="360"/>
        <w:rPr>
          <w:b/>
          <w:bCs/>
        </w:rPr>
      </w:pPr>
      <w:r w:rsidRPr="004E60D8">
        <w:rPr>
          <w:bCs/>
          <w:color w:val="000000"/>
        </w:rPr>
        <w:t xml:space="preserve">It is the policy of health plans affiliated with Centene Corporation that urodynamic testing in the following cases </w:t>
      </w:r>
      <w:r w:rsidR="00192AC5" w:rsidRPr="004E60D8">
        <w:rPr>
          <w:bCs/>
          <w:color w:val="000000"/>
        </w:rPr>
        <w:t>is</w:t>
      </w:r>
      <w:r w:rsidRPr="004E60D8">
        <w:rPr>
          <w:bCs/>
          <w:color w:val="000000"/>
        </w:rPr>
        <w:t xml:space="preserve"> considered </w:t>
      </w:r>
      <w:r w:rsidRPr="004E60D8">
        <w:rPr>
          <w:b/>
          <w:bCs/>
          <w:color w:val="000000"/>
        </w:rPr>
        <w:t>not medically necessary</w:t>
      </w:r>
      <w:r w:rsidRPr="004E60D8">
        <w:rPr>
          <w:bCs/>
          <w:color w:val="000000"/>
        </w:rPr>
        <w:t xml:space="preserve">:  </w:t>
      </w:r>
    </w:p>
    <w:p w14:paraId="4ACF73E8" w14:textId="77777777" w:rsidR="00192AC5" w:rsidRPr="004E60D8" w:rsidRDefault="00192AC5" w:rsidP="00192AC5">
      <w:pPr>
        <w:numPr>
          <w:ilvl w:val="1"/>
          <w:numId w:val="10"/>
        </w:numPr>
        <w:ind w:left="720"/>
      </w:pPr>
      <w:r w:rsidRPr="004E60D8">
        <w:t>More than one cystometrogram (CPT codes 51725 or 51726) or uroflowmetry study (CPT codes 51736 or 51741) per visit.</w:t>
      </w:r>
    </w:p>
    <w:p w14:paraId="139E62F3" w14:textId="20967927" w:rsidR="005F0E0C" w:rsidRPr="004E60D8" w:rsidRDefault="00192AC5" w:rsidP="00192AC5">
      <w:pPr>
        <w:numPr>
          <w:ilvl w:val="1"/>
          <w:numId w:val="10"/>
        </w:numPr>
        <w:ind w:left="720"/>
      </w:pPr>
      <w:r w:rsidRPr="004E60D8">
        <w:t xml:space="preserve">The use of any </w:t>
      </w:r>
      <w:r w:rsidR="004E60D8">
        <w:t>urodynamic testing</w:t>
      </w:r>
      <w:r w:rsidRPr="004E60D8">
        <w:t xml:space="preserve"> for screening in asymptomatic patients, except for evaluation of neurogenic bladder</w:t>
      </w:r>
      <w:r w:rsidR="00821A89">
        <w:t xml:space="preserve"> or urological abnormalitites associated with complex anorectal malformation.</w:t>
      </w:r>
    </w:p>
    <w:p w14:paraId="3E46CBAF" w14:textId="77777777" w:rsidR="005F0E0C" w:rsidRPr="004E60D8" w:rsidRDefault="005F0E0C" w:rsidP="00FB0592">
      <w:pPr>
        <w:rPr>
          <w:b/>
          <w:bCs/>
        </w:rPr>
      </w:pPr>
    </w:p>
    <w:p w14:paraId="3D00D663" w14:textId="77777777" w:rsidR="00FB0592" w:rsidRDefault="00FB0592" w:rsidP="00280B60">
      <w:pPr>
        <w:pStyle w:val="Heading2"/>
        <w:rPr>
          <w:u w:val="none"/>
        </w:rPr>
      </w:pPr>
      <w:r w:rsidRPr="004E60D8">
        <w:rPr>
          <w:u w:val="none"/>
        </w:rPr>
        <w:t>Background</w:t>
      </w:r>
    </w:p>
    <w:p w14:paraId="642D5753" w14:textId="77777777" w:rsidR="004E60D8" w:rsidRDefault="004E60D8" w:rsidP="00280B60">
      <w:pPr>
        <w:widowControl w:val="0"/>
        <w:autoSpaceDE w:val="0"/>
        <w:autoSpaceDN w:val="0"/>
        <w:adjustRightInd w:val="0"/>
      </w:pPr>
      <w:r w:rsidRPr="004E60D8">
        <w:t xml:space="preserve">Lower urinary tract </w:t>
      </w:r>
      <w:r>
        <w:t>symptoms</w:t>
      </w:r>
      <w:r w:rsidRPr="004E60D8">
        <w:t xml:space="preserve">, which include urinary incontinence, are a common and significant source of impaired quality of life and comorbidity in </w:t>
      </w:r>
      <w:r>
        <w:t xml:space="preserve">a </w:t>
      </w:r>
      <w:r w:rsidRPr="004E60D8">
        <w:t xml:space="preserve">large number of adults and children. Commonly, patients presenting with </w:t>
      </w:r>
      <w:r>
        <w:t>lower urinary tract symptoms</w:t>
      </w:r>
      <w:r w:rsidRPr="004E60D8">
        <w:t xml:space="preserve"> have overlapping symptoms and conditions, making an isolated or homogeneous source of symptoms rare. Clinicians evaluating these disorders collectively utilize history, physical examination, </w:t>
      </w:r>
      <w:r w:rsidRPr="004E60D8">
        <w:lastRenderedPageBreak/>
        <w:t>questionnaires and testing data in the evaluation of symptoms.</w:t>
      </w:r>
      <w:r w:rsidRPr="004E60D8">
        <w:rPr>
          <w:vertAlign w:val="superscript"/>
        </w:rPr>
        <w:t>3</w:t>
      </w:r>
      <w:r w:rsidRPr="004E60D8">
        <w:t xml:space="preserve"> Cystometrogram, uroflowmetry, urethral pressure profile, and voiding pressure studies, among others, are used to identify abnormal voiding patterns in symptomatic patients with disorders of urinary flow. Each of the urodynamic studies has benefits and limitations that must be understood for each specific clinical application.</w:t>
      </w:r>
    </w:p>
    <w:p w14:paraId="3A7BF04E" w14:textId="77777777" w:rsidR="004E60D8" w:rsidRDefault="004E60D8" w:rsidP="00280B60">
      <w:pPr>
        <w:widowControl w:val="0"/>
        <w:autoSpaceDE w:val="0"/>
        <w:autoSpaceDN w:val="0"/>
        <w:adjustRightInd w:val="0"/>
      </w:pPr>
    </w:p>
    <w:p w14:paraId="3FBEC26B" w14:textId="77777777" w:rsidR="00C11C95" w:rsidRPr="004E60D8" w:rsidRDefault="00C11C95" w:rsidP="00280B60">
      <w:pPr>
        <w:widowControl w:val="0"/>
        <w:autoSpaceDE w:val="0"/>
        <w:autoSpaceDN w:val="0"/>
        <w:adjustRightInd w:val="0"/>
      </w:pPr>
      <w:r w:rsidRPr="004E60D8">
        <w:t xml:space="preserve">In clinical practice, the role of invasive urodynamic testing is not clearly defined. Urologists generally accept that conservative or empiric, non-invasive treatments may be instituted without urodynamic testing. Conservative treatments for urinary incontinence </w:t>
      </w:r>
      <w:r w:rsidRPr="004E60D8">
        <w:rPr>
          <w:szCs w:val="25"/>
        </w:rPr>
        <w:t>include pelvic muscle exercises (Kegel exercise), behavioral therapies such as bladder training and/or biofeedback, and pharmacotherapies (e.g., anticholinergic agents, musculotropic relaxants, calcium channel blockers, tricyclic antidepressants, or a combination of anticholinergic, antispasmodic medications and tricyclic antidepressants).  Specifically, urge incontinence is more effectively managed with peripherally acting receptor agonists or antagonists, while stress incontinence is better controlled by pelvic muscle exercises, behavioral therapies, or corrective surgery.</w:t>
      </w:r>
      <w:r w:rsidRPr="004E60D8">
        <w:rPr>
          <w:szCs w:val="25"/>
          <w:vertAlign w:val="superscript"/>
        </w:rPr>
        <w:t>4</w:t>
      </w:r>
    </w:p>
    <w:p w14:paraId="143553CC" w14:textId="77777777" w:rsidR="00C11C95" w:rsidRPr="004E60D8" w:rsidRDefault="00C11C95" w:rsidP="00280B60"/>
    <w:p w14:paraId="5CDC732D" w14:textId="77777777" w:rsidR="004E60D8" w:rsidRPr="004E60D8" w:rsidRDefault="004E60D8" w:rsidP="004E60D8">
      <w:r w:rsidRPr="004E60D8">
        <w:t>Urodynamic studies are indicated only after an initial evaluation is performed that, at minimum, includes an appropriate history, physical exam, and urinalysis with microscopy. Infection, if present, should be treated and effectiveness of treatment observed before further diagnostic (urodynamic) testing or other therapeutic interventions are undertaken.</w:t>
      </w:r>
    </w:p>
    <w:p w14:paraId="103B7CC9" w14:textId="77777777" w:rsidR="004E60D8" w:rsidRPr="004E60D8" w:rsidRDefault="004E60D8" w:rsidP="004E60D8"/>
    <w:p w14:paraId="552EF306" w14:textId="77777777" w:rsidR="00280B60" w:rsidRPr="004E60D8" w:rsidRDefault="00C11C95" w:rsidP="00280B60">
      <w:r w:rsidRPr="004E60D8">
        <w:t xml:space="preserve">Many types of urodynamic testing require urethral catheterization and include cystometry, pressure flow studies (PFS), and urethral function testing. Such testing subjects patients to risks of urethral instrumentation including infection, urethral trauma, and pain. Thus, the clinician must weigh whether urodynamic tests offer additional diagnostic benefit beyond symptom assessment, physical examination, and other diagnostic testing. A cystometrogram is used to distinguish bladder outlet obstruction from other voiding dysfunctions.  </w:t>
      </w:r>
    </w:p>
    <w:p w14:paraId="052E1C61" w14:textId="77777777" w:rsidR="00280B60" w:rsidRPr="004E60D8" w:rsidRDefault="00C11C95" w:rsidP="00280B60">
      <w:pPr>
        <w:numPr>
          <w:ilvl w:val="0"/>
          <w:numId w:val="12"/>
        </w:numPr>
      </w:pPr>
      <w:r w:rsidRPr="004E60D8">
        <w:t xml:space="preserve">In a simple cystometrogram (CPT code 51725), the physician inserts a pressure catheter into the bladder and using a manometer, records the pressure and flow in the lower urinary tract.  </w:t>
      </w:r>
    </w:p>
    <w:p w14:paraId="550357A1" w14:textId="77777777" w:rsidR="00280B60" w:rsidRPr="004E60D8" w:rsidRDefault="00C11C95" w:rsidP="00280B60">
      <w:pPr>
        <w:numPr>
          <w:ilvl w:val="0"/>
          <w:numId w:val="12"/>
        </w:numPr>
      </w:pPr>
      <w:r w:rsidRPr="004E60D8">
        <w:t xml:space="preserve">A complex cystometrogram (CPT code 51726) uses a transurethral catheter to fill the bladder with water or gas while simultaneously obtaining rectal pressure and a transducer measures intravesical pressure.  </w:t>
      </w:r>
    </w:p>
    <w:p w14:paraId="7C45A3A3" w14:textId="77777777" w:rsidR="00280B60" w:rsidRPr="004E60D8" w:rsidRDefault="00C11C95" w:rsidP="00280B60">
      <w:pPr>
        <w:numPr>
          <w:ilvl w:val="0"/>
          <w:numId w:val="12"/>
        </w:numPr>
      </w:pPr>
      <w:r w:rsidRPr="004E60D8">
        <w:t>CPT code 51727 reports a complex cystometrogram performed in conjunction with a measurement of urethral pressure studies.</w:t>
      </w:r>
    </w:p>
    <w:p w14:paraId="16A3907D" w14:textId="77777777" w:rsidR="00280B60" w:rsidRPr="004E60D8" w:rsidRDefault="00C11C95" w:rsidP="00280B60">
      <w:pPr>
        <w:numPr>
          <w:ilvl w:val="0"/>
          <w:numId w:val="12"/>
        </w:numPr>
      </w:pPr>
      <w:r w:rsidRPr="004E60D8">
        <w:t>CPT code 51728 reports a complex cystometrogram performed in conjunction with a measurement of voiding pressure studies.</w:t>
      </w:r>
    </w:p>
    <w:p w14:paraId="1BEAD105" w14:textId="77777777" w:rsidR="00C11C95" w:rsidRPr="004E60D8" w:rsidRDefault="00C11C95" w:rsidP="00280B60">
      <w:pPr>
        <w:numPr>
          <w:ilvl w:val="0"/>
          <w:numId w:val="12"/>
        </w:numPr>
      </w:pPr>
      <w:r w:rsidRPr="004E60D8">
        <w:t>CPT code 51729 reports a complex cystometrogram performed in conjunction with a measurement of voiding pressure studies and urethral pressure studies.</w:t>
      </w:r>
    </w:p>
    <w:p w14:paraId="1A617CD8" w14:textId="77777777" w:rsidR="004E60D8" w:rsidRPr="004E60D8" w:rsidRDefault="004E60D8" w:rsidP="004E60D8">
      <w:pPr>
        <w:numPr>
          <w:ilvl w:val="0"/>
          <w:numId w:val="12"/>
        </w:numPr>
      </w:pPr>
      <w:r w:rsidRPr="004E60D8">
        <w:t>Voiding pressure studies (CPT code 51797) measure the effort the patient makes while voiding.  This measurement includes the pressure required and the subsequent urine flow.</w:t>
      </w:r>
    </w:p>
    <w:p w14:paraId="28FF1DA6" w14:textId="77777777" w:rsidR="00C11C95" w:rsidRPr="004E60D8" w:rsidRDefault="00C11C95" w:rsidP="00280B60"/>
    <w:p w14:paraId="5E211F1A" w14:textId="77777777" w:rsidR="00280B60" w:rsidRPr="004E60D8" w:rsidRDefault="00280B60" w:rsidP="00280B60">
      <w:r w:rsidRPr="004E60D8">
        <w:t>Uroflowmetry and ultrasound post-void residual (PVR) studies may be appropriate noninvasive tests given the clinical scenario and the options for treatment.</w:t>
      </w:r>
      <w:r w:rsidRPr="004E60D8">
        <w:rPr>
          <w:vertAlign w:val="superscript"/>
        </w:rPr>
        <w:t>3</w:t>
      </w:r>
    </w:p>
    <w:p w14:paraId="37B31252" w14:textId="77777777" w:rsidR="00C11C95" w:rsidRPr="004E60D8" w:rsidRDefault="00C11C95" w:rsidP="00280B60">
      <w:pPr>
        <w:numPr>
          <w:ilvl w:val="0"/>
          <w:numId w:val="12"/>
        </w:numPr>
      </w:pPr>
      <w:r w:rsidRPr="004E60D8">
        <w:t>In simple uroflowmetry (CPT code 51736), a stopwatch is used to record the volume of the flow of urine over time.</w:t>
      </w:r>
    </w:p>
    <w:p w14:paraId="6BD2A083" w14:textId="77777777" w:rsidR="00C11C95" w:rsidRPr="004E60D8" w:rsidRDefault="00C11C95" w:rsidP="00280B60">
      <w:pPr>
        <w:numPr>
          <w:ilvl w:val="0"/>
          <w:numId w:val="12"/>
        </w:numPr>
      </w:pPr>
      <w:r w:rsidRPr="004E60D8">
        <w:lastRenderedPageBreak/>
        <w:t>Complex uroflowmetry (CPT code 51741) uses electronic equipment to measure and record the volume of urine flow over time.</w:t>
      </w:r>
    </w:p>
    <w:p w14:paraId="0A64C1CC" w14:textId="77777777" w:rsidR="00C11C95" w:rsidRPr="004E60D8" w:rsidRDefault="00C11C95" w:rsidP="00280B60">
      <w:pPr>
        <w:numPr>
          <w:ilvl w:val="0"/>
          <w:numId w:val="12"/>
        </w:numPr>
      </w:pPr>
      <w:r w:rsidRPr="004E60D8">
        <w:t xml:space="preserve">Measurement of residual urine and/or bladder emptying capacity (CPT code 51798) is accomplished using ultrasound after voiding.  </w:t>
      </w:r>
    </w:p>
    <w:p w14:paraId="566B5A7E" w14:textId="77777777" w:rsidR="00FE290A" w:rsidRPr="004E60D8" w:rsidRDefault="00FE290A" w:rsidP="00280B60">
      <w:pPr>
        <w:rPr>
          <w:b/>
          <w:bCs/>
        </w:rPr>
      </w:pPr>
    </w:p>
    <w:p w14:paraId="6F7B7421" w14:textId="77777777" w:rsidR="00170B14" w:rsidRPr="004E60D8" w:rsidRDefault="00170B14" w:rsidP="00170B14">
      <w:pPr>
        <w:rPr>
          <w:b/>
        </w:rPr>
      </w:pPr>
      <w:bookmarkStart w:id="0" w:name="Coding_Implications"/>
      <w:r w:rsidRPr="004E60D8">
        <w:rPr>
          <w:b/>
        </w:rPr>
        <w:t>Coding Implications</w:t>
      </w:r>
    </w:p>
    <w:bookmarkEnd w:id="0"/>
    <w:p w14:paraId="6E230674" w14:textId="47B29B18" w:rsidR="00AF5490" w:rsidRPr="00E12F5D" w:rsidRDefault="00E12F5D" w:rsidP="00AF5490">
      <w:r w:rsidRPr="00507DC0">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201</w:t>
      </w:r>
      <w:r w:rsidR="00386317">
        <w:t>9</w:t>
      </w:r>
      <w:r w:rsidRPr="00507DC0">
        <w:t>, American Medical Association. 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00667A9E" w:rsidRPr="00E12F5D">
        <w:t xml:space="preserve">The following is a list of procedures codes for which coverage may be provided when billed with a diagnosis code(s) that supports medical necessity criteria (see list of ICD-10-CM codes supporting medical necessity further below).  </w:t>
      </w:r>
      <w:r w:rsidR="00AF5490" w:rsidRPr="004E60D8">
        <w:t>They are current at time of review of this policy.  Inclusion or exclusion of any codes does not guarantee coverage.  Providers should reference the most up-to-date sources of professional coding guidance prior to the submission of claims for reimbursement of covered services.</w:t>
      </w:r>
    </w:p>
    <w:p w14:paraId="50BB82B5" w14:textId="77777777" w:rsidR="00AF5490" w:rsidRPr="00A85489" w:rsidRDefault="00AF5490" w:rsidP="00AF5490"/>
    <w:tbl>
      <w:tblPr>
        <w:tblStyle w:val="TableGrid"/>
        <w:tblW w:w="5198" w:type="pct"/>
        <w:tblInd w:w="-95" w:type="dxa"/>
        <w:tblLook w:val="0020" w:firstRow="1" w:lastRow="0" w:firstColumn="0" w:lastColumn="0" w:noHBand="0" w:noVBand="0"/>
      </w:tblPr>
      <w:tblGrid>
        <w:gridCol w:w="1204"/>
        <w:gridCol w:w="8516"/>
      </w:tblGrid>
      <w:tr w:rsidR="00B777AF" w:rsidRPr="00B777AF" w14:paraId="2129324F" w14:textId="77777777" w:rsidTr="002E1061">
        <w:trPr>
          <w:tblHeader/>
        </w:trPr>
        <w:tc>
          <w:tcPr>
            <w:tcW w:w="1204" w:type="dxa"/>
            <w:shd w:val="clear" w:color="auto" w:fill="00548C"/>
          </w:tcPr>
          <w:p w14:paraId="44922941" w14:textId="77777777" w:rsidR="00D36448" w:rsidRPr="00B777AF" w:rsidRDefault="00D36448" w:rsidP="0037682F">
            <w:pPr>
              <w:rPr>
                <w:b/>
                <w:bCs/>
                <w:color w:val="FFFFFF" w:themeColor="background1"/>
              </w:rPr>
            </w:pPr>
            <w:r w:rsidRPr="00B777AF">
              <w:rPr>
                <w:b/>
                <w:color w:val="FFFFFF" w:themeColor="background1"/>
              </w:rPr>
              <w:t>CPT</w:t>
            </w:r>
            <w:r w:rsidR="00AF5490" w:rsidRPr="00B777AF">
              <w:rPr>
                <w:b/>
                <w:color w:val="FFFFFF" w:themeColor="background1"/>
                <w:vertAlign w:val="superscript"/>
              </w:rPr>
              <w:t>®</w:t>
            </w:r>
            <w:r w:rsidRPr="00B777AF">
              <w:rPr>
                <w:b/>
                <w:color w:val="FFFFFF" w:themeColor="background1"/>
              </w:rPr>
              <w:t xml:space="preserve"> Codes </w:t>
            </w:r>
          </w:p>
        </w:tc>
        <w:tc>
          <w:tcPr>
            <w:tcW w:w="8516" w:type="dxa"/>
            <w:shd w:val="clear" w:color="auto" w:fill="00548C"/>
          </w:tcPr>
          <w:p w14:paraId="364571BD" w14:textId="77777777" w:rsidR="00D36448" w:rsidRPr="00B777AF" w:rsidRDefault="00D36448" w:rsidP="0037682F">
            <w:pPr>
              <w:rPr>
                <w:b/>
                <w:bCs/>
                <w:color w:val="FFFFFF" w:themeColor="background1"/>
              </w:rPr>
            </w:pPr>
            <w:r w:rsidRPr="00B777AF">
              <w:rPr>
                <w:b/>
                <w:color w:val="FFFFFF" w:themeColor="background1"/>
              </w:rPr>
              <w:t>Description</w:t>
            </w:r>
          </w:p>
        </w:tc>
      </w:tr>
      <w:tr w:rsidR="00667A9E" w:rsidRPr="003B3588" w14:paraId="58C947A2" w14:textId="77777777" w:rsidTr="002E1061">
        <w:tc>
          <w:tcPr>
            <w:tcW w:w="1204" w:type="dxa"/>
          </w:tcPr>
          <w:p w14:paraId="447BC196" w14:textId="77777777" w:rsidR="00667A9E" w:rsidRPr="003B3588" w:rsidRDefault="00667A9E" w:rsidP="0037682F">
            <w:pPr>
              <w:jc w:val="both"/>
            </w:pPr>
            <w:r w:rsidRPr="003B3588">
              <w:t>51725</w:t>
            </w:r>
          </w:p>
        </w:tc>
        <w:tc>
          <w:tcPr>
            <w:tcW w:w="8516" w:type="dxa"/>
          </w:tcPr>
          <w:p w14:paraId="5ABE7CDE" w14:textId="77777777" w:rsidR="00667A9E" w:rsidRPr="003B3588" w:rsidRDefault="00667A9E" w:rsidP="00E12F5D">
            <w:r w:rsidRPr="003B3588">
              <w:t>Simple cystometrogram (CMG)(eg, spinal manometer)</w:t>
            </w:r>
          </w:p>
        </w:tc>
      </w:tr>
      <w:tr w:rsidR="00667A9E" w:rsidRPr="003B3588" w14:paraId="1F4996EC" w14:textId="77777777" w:rsidTr="002E1061">
        <w:tc>
          <w:tcPr>
            <w:tcW w:w="1204" w:type="dxa"/>
          </w:tcPr>
          <w:p w14:paraId="3CCDFCC6" w14:textId="77777777" w:rsidR="00667A9E" w:rsidRPr="003B3588" w:rsidRDefault="00667A9E" w:rsidP="0037682F">
            <w:pPr>
              <w:jc w:val="both"/>
            </w:pPr>
            <w:r w:rsidRPr="003B3588">
              <w:t>51726</w:t>
            </w:r>
          </w:p>
        </w:tc>
        <w:tc>
          <w:tcPr>
            <w:tcW w:w="8516" w:type="dxa"/>
          </w:tcPr>
          <w:p w14:paraId="4567197C" w14:textId="77777777" w:rsidR="00667A9E" w:rsidRPr="003B3588" w:rsidRDefault="00667A9E" w:rsidP="00E12F5D">
            <w:r w:rsidRPr="003B3588">
              <w:t>Complex cystometrogram (ie, calibrated electronic equipment)</w:t>
            </w:r>
          </w:p>
        </w:tc>
      </w:tr>
      <w:tr w:rsidR="00667A9E" w:rsidRPr="003B3588" w14:paraId="7F76BA88" w14:textId="77777777" w:rsidTr="002E1061">
        <w:tc>
          <w:tcPr>
            <w:tcW w:w="1204" w:type="dxa"/>
          </w:tcPr>
          <w:p w14:paraId="652F8C49" w14:textId="77777777" w:rsidR="00667A9E" w:rsidRPr="003B3588" w:rsidRDefault="00667A9E" w:rsidP="0037682F">
            <w:pPr>
              <w:jc w:val="both"/>
            </w:pPr>
            <w:r w:rsidRPr="003B3588">
              <w:t>51727</w:t>
            </w:r>
          </w:p>
        </w:tc>
        <w:tc>
          <w:tcPr>
            <w:tcW w:w="8516" w:type="dxa"/>
          </w:tcPr>
          <w:p w14:paraId="6C25C155" w14:textId="77777777" w:rsidR="00667A9E" w:rsidRPr="003B3588" w:rsidRDefault="00667A9E" w:rsidP="00E12F5D">
            <w:r w:rsidRPr="003B3588">
              <w:t xml:space="preserve">Complex cystometrogram </w:t>
            </w:r>
            <w:r w:rsidR="004B004A" w:rsidRPr="004B004A">
              <w:t>(ie, calibrated electronic equipment</w:t>
            </w:r>
            <w:r w:rsidR="004B004A">
              <w:t xml:space="preserve">; </w:t>
            </w:r>
            <w:r w:rsidRPr="003B3588">
              <w:t>with urethral pressure profile studies (i.e., urethral closure pressure profile), any technique</w:t>
            </w:r>
          </w:p>
        </w:tc>
      </w:tr>
      <w:tr w:rsidR="00667A9E" w:rsidRPr="003B3588" w14:paraId="593EB44C" w14:textId="77777777" w:rsidTr="002E1061">
        <w:tc>
          <w:tcPr>
            <w:tcW w:w="1204" w:type="dxa"/>
          </w:tcPr>
          <w:p w14:paraId="08DEFFE7" w14:textId="77777777" w:rsidR="00667A9E" w:rsidRPr="003B3588" w:rsidRDefault="00667A9E" w:rsidP="0037682F">
            <w:pPr>
              <w:jc w:val="both"/>
            </w:pPr>
            <w:r w:rsidRPr="003B3588">
              <w:t>51728</w:t>
            </w:r>
          </w:p>
        </w:tc>
        <w:tc>
          <w:tcPr>
            <w:tcW w:w="8516" w:type="dxa"/>
          </w:tcPr>
          <w:p w14:paraId="6E0BE435" w14:textId="77777777" w:rsidR="00667A9E" w:rsidRPr="003B3588" w:rsidRDefault="00667A9E" w:rsidP="00E12F5D">
            <w:r w:rsidRPr="003B3588">
              <w:t>Complex cystometrogram</w:t>
            </w:r>
            <w:r w:rsidR="004B004A">
              <w:t xml:space="preserve"> </w:t>
            </w:r>
            <w:r w:rsidR="004B004A" w:rsidRPr="004B004A">
              <w:t>(ie, calibrated electronic equipment</w:t>
            </w:r>
            <w:r w:rsidRPr="003B3588">
              <w:t>; with voiding pressure studies (ie, bladder voiding pressure), any technique</w:t>
            </w:r>
          </w:p>
        </w:tc>
      </w:tr>
      <w:tr w:rsidR="00667A9E" w:rsidRPr="003B3588" w14:paraId="4362943C" w14:textId="77777777" w:rsidTr="002E1061">
        <w:tc>
          <w:tcPr>
            <w:tcW w:w="1204" w:type="dxa"/>
          </w:tcPr>
          <w:p w14:paraId="5597A8F1" w14:textId="77777777" w:rsidR="00667A9E" w:rsidRPr="003B3588" w:rsidRDefault="00667A9E" w:rsidP="0037682F">
            <w:pPr>
              <w:jc w:val="both"/>
            </w:pPr>
            <w:r w:rsidRPr="003B3588">
              <w:t>51729</w:t>
            </w:r>
          </w:p>
        </w:tc>
        <w:tc>
          <w:tcPr>
            <w:tcW w:w="8516" w:type="dxa"/>
          </w:tcPr>
          <w:p w14:paraId="3638FD84" w14:textId="77777777" w:rsidR="00667A9E" w:rsidRPr="003B3588" w:rsidRDefault="00667A9E" w:rsidP="00E12F5D">
            <w:r w:rsidRPr="003B3588">
              <w:t xml:space="preserve">Complex cystometrogram </w:t>
            </w:r>
            <w:r w:rsidR="004B004A">
              <w:t xml:space="preserve">(ie, </w:t>
            </w:r>
            <w:r w:rsidR="004B004A" w:rsidRPr="004B004A">
              <w:t>calibrated electronic equipment</w:t>
            </w:r>
            <w:r w:rsidR="004B004A">
              <w:t>;</w:t>
            </w:r>
            <w:r w:rsidR="004B004A" w:rsidRPr="004B004A">
              <w:t xml:space="preserve"> </w:t>
            </w:r>
            <w:r w:rsidRPr="003B3588">
              <w:t>with voiding pressure studies (ie, bladder voiding pressure) and urethral pressure profile studies (ie, urethral closure pressure profile), any technique</w:t>
            </w:r>
          </w:p>
        </w:tc>
      </w:tr>
      <w:tr w:rsidR="00667A9E" w:rsidRPr="003B3588" w14:paraId="2C69031D" w14:textId="77777777" w:rsidTr="002E1061">
        <w:tc>
          <w:tcPr>
            <w:tcW w:w="1204" w:type="dxa"/>
          </w:tcPr>
          <w:p w14:paraId="37DD8F20" w14:textId="77777777" w:rsidR="00667A9E" w:rsidRPr="003B3588" w:rsidRDefault="00667A9E" w:rsidP="0037682F">
            <w:pPr>
              <w:jc w:val="both"/>
            </w:pPr>
            <w:r w:rsidRPr="003B3588">
              <w:t>51736</w:t>
            </w:r>
          </w:p>
        </w:tc>
        <w:tc>
          <w:tcPr>
            <w:tcW w:w="8516" w:type="dxa"/>
          </w:tcPr>
          <w:p w14:paraId="49C8837C" w14:textId="77777777" w:rsidR="00667A9E" w:rsidRPr="003B3588" w:rsidRDefault="00667A9E" w:rsidP="00E12F5D">
            <w:r w:rsidRPr="003B3588">
              <w:t>Simple uroflowmetry</w:t>
            </w:r>
            <w:r w:rsidR="004B004A">
              <w:t xml:space="preserve"> </w:t>
            </w:r>
            <w:r w:rsidRPr="003B3588">
              <w:t>(UFR)(eg,</w:t>
            </w:r>
            <w:r w:rsidR="004B004A">
              <w:t xml:space="preserve"> </w:t>
            </w:r>
            <w:r w:rsidRPr="003B3588">
              <w:t xml:space="preserve">stop-watch flow rate, mechanical uroflowmeter) </w:t>
            </w:r>
          </w:p>
        </w:tc>
      </w:tr>
      <w:tr w:rsidR="00667A9E" w:rsidRPr="003B3588" w14:paraId="44E51988" w14:textId="77777777" w:rsidTr="002E1061">
        <w:tc>
          <w:tcPr>
            <w:tcW w:w="1204" w:type="dxa"/>
          </w:tcPr>
          <w:p w14:paraId="53A94BEC" w14:textId="77777777" w:rsidR="00667A9E" w:rsidRPr="003B3588" w:rsidRDefault="00667A9E" w:rsidP="0037682F">
            <w:pPr>
              <w:jc w:val="both"/>
            </w:pPr>
            <w:r w:rsidRPr="003B3588">
              <w:t>51741</w:t>
            </w:r>
          </w:p>
        </w:tc>
        <w:tc>
          <w:tcPr>
            <w:tcW w:w="8516" w:type="dxa"/>
          </w:tcPr>
          <w:p w14:paraId="20D27527" w14:textId="77777777" w:rsidR="00667A9E" w:rsidRPr="003B3588" w:rsidRDefault="00667A9E" w:rsidP="00E12F5D">
            <w:r w:rsidRPr="003B3588">
              <w:t>Complex uroflowmetry (eg, calibrated electronic equipment)</w:t>
            </w:r>
          </w:p>
        </w:tc>
      </w:tr>
      <w:tr w:rsidR="00667A9E" w:rsidRPr="003B3588" w14:paraId="7FCC45B2" w14:textId="77777777" w:rsidTr="002E1061">
        <w:tc>
          <w:tcPr>
            <w:tcW w:w="1204" w:type="dxa"/>
          </w:tcPr>
          <w:p w14:paraId="2411515F" w14:textId="77777777" w:rsidR="00667A9E" w:rsidRPr="003B3588" w:rsidRDefault="00667A9E" w:rsidP="0037682F">
            <w:pPr>
              <w:jc w:val="both"/>
            </w:pPr>
            <w:r w:rsidRPr="003B3588">
              <w:t>+51797</w:t>
            </w:r>
          </w:p>
        </w:tc>
        <w:tc>
          <w:tcPr>
            <w:tcW w:w="8516" w:type="dxa"/>
          </w:tcPr>
          <w:p w14:paraId="476B709E" w14:textId="77777777" w:rsidR="00667A9E" w:rsidRPr="003B3588" w:rsidRDefault="00667A9E" w:rsidP="00E12F5D">
            <w:r w:rsidRPr="003B3588">
              <w:t>Voiding pressure studies, intra-abdominal (ie, rectal, gastric, intraperitoneal (List separately in addition to code for primary procedure)</w:t>
            </w:r>
          </w:p>
        </w:tc>
      </w:tr>
      <w:tr w:rsidR="00667A9E" w:rsidRPr="003B3588" w14:paraId="40244ECC" w14:textId="77777777" w:rsidTr="002E1061">
        <w:tc>
          <w:tcPr>
            <w:tcW w:w="1204" w:type="dxa"/>
          </w:tcPr>
          <w:p w14:paraId="5A9AB7DF" w14:textId="77777777" w:rsidR="00667A9E" w:rsidRPr="003B3588" w:rsidRDefault="00667A9E" w:rsidP="0037682F">
            <w:pPr>
              <w:jc w:val="both"/>
            </w:pPr>
            <w:r w:rsidRPr="003B3588">
              <w:t>51798</w:t>
            </w:r>
          </w:p>
        </w:tc>
        <w:tc>
          <w:tcPr>
            <w:tcW w:w="8516" w:type="dxa"/>
          </w:tcPr>
          <w:p w14:paraId="7C8CC9BD" w14:textId="77777777" w:rsidR="00667A9E" w:rsidRPr="003B3588" w:rsidRDefault="00667A9E" w:rsidP="00E12F5D">
            <w:r w:rsidRPr="003B3588">
              <w:t>Measurement of post-voiding residual urine and/or bladder capacity by ultrasound, non-imaging</w:t>
            </w:r>
          </w:p>
        </w:tc>
      </w:tr>
    </w:tbl>
    <w:p w14:paraId="46DC655D" w14:textId="77777777" w:rsidR="00AF5490" w:rsidRDefault="00AF5490" w:rsidP="00AF5490"/>
    <w:p w14:paraId="1029862B" w14:textId="77777777" w:rsidR="00350F22" w:rsidRDefault="00350F22" w:rsidP="00AF5490">
      <w:pPr>
        <w:rPr>
          <w:b/>
        </w:rPr>
      </w:pPr>
      <w:r w:rsidRPr="00350F22">
        <w:rPr>
          <w:b/>
        </w:rPr>
        <w:t xml:space="preserve">ICD-10-CM Diagnosis Codes that Support </w:t>
      </w:r>
      <w:r w:rsidR="00667A9E">
        <w:rPr>
          <w:b/>
        </w:rPr>
        <w:t>Medical Necessity</w:t>
      </w:r>
    </w:p>
    <w:tbl>
      <w:tblPr>
        <w:tblW w:w="5207"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818"/>
        <w:gridCol w:w="7919"/>
      </w:tblGrid>
      <w:tr w:rsidR="00F37EA6" w:rsidRPr="00B777AF" w14:paraId="1C91DFF4" w14:textId="77777777" w:rsidTr="002E1061">
        <w:trPr>
          <w:tblHeader/>
        </w:trPr>
        <w:tc>
          <w:tcPr>
            <w:tcW w:w="1818" w:type="dxa"/>
            <w:shd w:val="clear" w:color="auto" w:fill="00548C"/>
          </w:tcPr>
          <w:p w14:paraId="240CC9E2" w14:textId="77777777" w:rsidR="00F37EA6" w:rsidRPr="00277B9B" w:rsidRDefault="00F37EA6" w:rsidP="004B004A">
            <w:pPr>
              <w:rPr>
                <w:b/>
                <w:bCs/>
                <w:color w:val="FFFFFF"/>
              </w:rPr>
            </w:pPr>
            <w:r w:rsidRPr="00277B9B">
              <w:rPr>
                <w:b/>
                <w:color w:val="FFFFFF"/>
              </w:rPr>
              <w:t>ICD-10-CM Code</w:t>
            </w:r>
          </w:p>
        </w:tc>
        <w:tc>
          <w:tcPr>
            <w:tcW w:w="7919" w:type="dxa"/>
            <w:shd w:val="clear" w:color="auto" w:fill="00548C"/>
          </w:tcPr>
          <w:p w14:paraId="19A9A7AA" w14:textId="77777777" w:rsidR="00F37EA6" w:rsidRPr="00277B9B" w:rsidRDefault="00F37EA6" w:rsidP="004B004A">
            <w:pPr>
              <w:rPr>
                <w:b/>
                <w:bCs/>
                <w:color w:val="FFFFFF"/>
              </w:rPr>
            </w:pPr>
            <w:r w:rsidRPr="00277B9B">
              <w:rPr>
                <w:b/>
                <w:color w:val="FFFFFF"/>
              </w:rPr>
              <w:t>Description</w:t>
            </w:r>
          </w:p>
        </w:tc>
      </w:tr>
      <w:tr w:rsidR="00BC2019" w:rsidRPr="003B3588" w14:paraId="331D99A8" w14:textId="77777777" w:rsidTr="002E1061">
        <w:tc>
          <w:tcPr>
            <w:tcW w:w="1818" w:type="dxa"/>
          </w:tcPr>
          <w:p w14:paraId="23495A26" w14:textId="77777777" w:rsidR="00BC2019" w:rsidRDefault="00BC2019" w:rsidP="004B004A">
            <w:pPr>
              <w:jc w:val="both"/>
            </w:pPr>
            <w:r>
              <w:t>E10.69</w:t>
            </w:r>
          </w:p>
        </w:tc>
        <w:tc>
          <w:tcPr>
            <w:tcW w:w="7919" w:type="dxa"/>
          </w:tcPr>
          <w:p w14:paraId="50143AB9" w14:textId="77777777" w:rsidR="00BC2019" w:rsidRPr="00D77615" w:rsidRDefault="00BC2019" w:rsidP="00E12F5D">
            <w:r>
              <w:t>Type 1 diabetes mellitus with other specified complications</w:t>
            </w:r>
          </w:p>
        </w:tc>
      </w:tr>
      <w:tr w:rsidR="00D77615" w:rsidRPr="003B3588" w14:paraId="22473604" w14:textId="77777777" w:rsidTr="002E1061">
        <w:tc>
          <w:tcPr>
            <w:tcW w:w="1818" w:type="dxa"/>
          </w:tcPr>
          <w:p w14:paraId="119CA2B1" w14:textId="77777777" w:rsidR="00D77615" w:rsidRPr="003B3588" w:rsidRDefault="00D77615" w:rsidP="004B004A">
            <w:pPr>
              <w:jc w:val="both"/>
            </w:pPr>
            <w:r>
              <w:t>E11.69</w:t>
            </w:r>
          </w:p>
        </w:tc>
        <w:tc>
          <w:tcPr>
            <w:tcW w:w="7919" w:type="dxa"/>
          </w:tcPr>
          <w:p w14:paraId="411A1FEA" w14:textId="77777777" w:rsidR="00D77615" w:rsidRPr="003B3588" w:rsidRDefault="00D77615" w:rsidP="00E12F5D">
            <w:r w:rsidRPr="00D77615">
              <w:t>Type 2 diabetes mellitus with other specified complication</w:t>
            </w:r>
          </w:p>
        </w:tc>
      </w:tr>
      <w:tr w:rsidR="00F37EA6" w:rsidRPr="003B3588" w14:paraId="7ABBCEF0" w14:textId="77777777" w:rsidTr="002E1061">
        <w:tc>
          <w:tcPr>
            <w:tcW w:w="1818" w:type="dxa"/>
          </w:tcPr>
          <w:p w14:paraId="20F00169" w14:textId="77777777" w:rsidR="00F37EA6" w:rsidRPr="003B3588" w:rsidRDefault="00F37EA6" w:rsidP="004B004A">
            <w:pPr>
              <w:jc w:val="both"/>
            </w:pPr>
            <w:r w:rsidRPr="003B3588">
              <w:t>G20</w:t>
            </w:r>
          </w:p>
        </w:tc>
        <w:tc>
          <w:tcPr>
            <w:tcW w:w="7919" w:type="dxa"/>
          </w:tcPr>
          <w:p w14:paraId="3272D756" w14:textId="77777777" w:rsidR="00F37EA6" w:rsidRPr="003B3588" w:rsidRDefault="00F37EA6" w:rsidP="00E12F5D">
            <w:r w:rsidRPr="003B3588">
              <w:t>Parkinson’s disease</w:t>
            </w:r>
          </w:p>
        </w:tc>
      </w:tr>
      <w:tr w:rsidR="00F37EA6" w:rsidRPr="003B3588" w14:paraId="7F99A345" w14:textId="77777777" w:rsidTr="002E1061">
        <w:tc>
          <w:tcPr>
            <w:tcW w:w="1818" w:type="dxa"/>
          </w:tcPr>
          <w:p w14:paraId="11FEBF15" w14:textId="77777777" w:rsidR="00F37EA6" w:rsidRPr="003B3588" w:rsidRDefault="00F37EA6" w:rsidP="004B004A">
            <w:pPr>
              <w:jc w:val="both"/>
            </w:pPr>
            <w:r w:rsidRPr="003B3588">
              <w:t>G35</w:t>
            </w:r>
          </w:p>
        </w:tc>
        <w:tc>
          <w:tcPr>
            <w:tcW w:w="7919" w:type="dxa"/>
          </w:tcPr>
          <w:p w14:paraId="74F53FB3" w14:textId="77777777" w:rsidR="00F37EA6" w:rsidRPr="003B3588" w:rsidRDefault="00F37EA6" w:rsidP="00E12F5D">
            <w:r w:rsidRPr="003B3588">
              <w:t>Multiple sclerosis</w:t>
            </w:r>
          </w:p>
        </w:tc>
      </w:tr>
      <w:tr w:rsidR="00F37EA6" w:rsidRPr="003B3588" w14:paraId="7B51531A" w14:textId="77777777" w:rsidTr="002E1061">
        <w:tc>
          <w:tcPr>
            <w:tcW w:w="1818" w:type="dxa"/>
          </w:tcPr>
          <w:p w14:paraId="441987FA" w14:textId="77777777" w:rsidR="00F37EA6" w:rsidRPr="003B3588" w:rsidRDefault="00F37EA6" w:rsidP="004B004A">
            <w:pPr>
              <w:jc w:val="both"/>
            </w:pPr>
            <w:r w:rsidRPr="003B3588">
              <w:t>G37.3</w:t>
            </w:r>
          </w:p>
        </w:tc>
        <w:tc>
          <w:tcPr>
            <w:tcW w:w="7919" w:type="dxa"/>
          </w:tcPr>
          <w:p w14:paraId="228249AE" w14:textId="77777777" w:rsidR="00F37EA6" w:rsidRPr="003B3588" w:rsidRDefault="00F37EA6" w:rsidP="00E12F5D">
            <w:r w:rsidRPr="003B3588">
              <w:t>Acute transverse myelitis in demyelinating disease of central nervous system</w:t>
            </w:r>
          </w:p>
        </w:tc>
      </w:tr>
      <w:tr w:rsidR="00F37EA6" w:rsidRPr="003B3588" w14:paraId="2A7B1A0F" w14:textId="77777777" w:rsidTr="002E1061">
        <w:tc>
          <w:tcPr>
            <w:tcW w:w="1818" w:type="dxa"/>
          </w:tcPr>
          <w:p w14:paraId="79EE03CE" w14:textId="77777777" w:rsidR="00F37EA6" w:rsidRPr="003B3588" w:rsidRDefault="00F37EA6" w:rsidP="004B004A">
            <w:pPr>
              <w:jc w:val="both"/>
            </w:pPr>
            <w:r w:rsidRPr="003B3588">
              <w:t>G83.4</w:t>
            </w:r>
          </w:p>
        </w:tc>
        <w:tc>
          <w:tcPr>
            <w:tcW w:w="7919" w:type="dxa"/>
          </w:tcPr>
          <w:p w14:paraId="3B14DD50" w14:textId="77777777" w:rsidR="00F37EA6" w:rsidRPr="003B3588" w:rsidRDefault="00F37EA6" w:rsidP="00E12F5D">
            <w:r w:rsidRPr="003B3588">
              <w:t>Cauda equina syndrome</w:t>
            </w:r>
          </w:p>
        </w:tc>
      </w:tr>
      <w:tr w:rsidR="00F37EA6" w:rsidRPr="003B3588" w14:paraId="79A5E34B" w14:textId="77777777" w:rsidTr="002E1061">
        <w:tc>
          <w:tcPr>
            <w:tcW w:w="1818" w:type="dxa"/>
          </w:tcPr>
          <w:p w14:paraId="4FA37CAD" w14:textId="77777777" w:rsidR="00F37EA6" w:rsidRPr="003B3588" w:rsidRDefault="00F37EA6" w:rsidP="004B004A">
            <w:pPr>
              <w:jc w:val="both"/>
            </w:pPr>
            <w:r w:rsidRPr="003B3588">
              <w:t>N30.1</w:t>
            </w:r>
            <w:r>
              <w:t>0-N30.11</w:t>
            </w:r>
            <w:r w:rsidRPr="003B3588">
              <w:t xml:space="preserve"> </w:t>
            </w:r>
          </w:p>
        </w:tc>
        <w:tc>
          <w:tcPr>
            <w:tcW w:w="7919" w:type="dxa"/>
          </w:tcPr>
          <w:p w14:paraId="4DF2E0C6" w14:textId="77777777" w:rsidR="00F37EA6" w:rsidRPr="003B3588" w:rsidRDefault="00F37EA6" w:rsidP="00E12F5D">
            <w:r w:rsidRPr="003B3588">
              <w:t xml:space="preserve">Interstitial </w:t>
            </w:r>
            <w:r>
              <w:t>c</w:t>
            </w:r>
            <w:r w:rsidRPr="003B3588">
              <w:t>ystitis</w:t>
            </w:r>
            <w:r>
              <w:t>, chronic</w:t>
            </w:r>
          </w:p>
        </w:tc>
      </w:tr>
      <w:tr w:rsidR="00F37EA6" w:rsidRPr="003B3588" w14:paraId="027829B5" w14:textId="77777777" w:rsidTr="002E1061">
        <w:tc>
          <w:tcPr>
            <w:tcW w:w="1818" w:type="dxa"/>
          </w:tcPr>
          <w:p w14:paraId="6C0DAC81" w14:textId="77777777" w:rsidR="00F37EA6" w:rsidRPr="003B3588" w:rsidRDefault="00F37EA6" w:rsidP="004B004A">
            <w:pPr>
              <w:jc w:val="both"/>
            </w:pPr>
            <w:r>
              <w:t>N30.20-N30.21</w:t>
            </w:r>
          </w:p>
        </w:tc>
        <w:tc>
          <w:tcPr>
            <w:tcW w:w="7919" w:type="dxa"/>
          </w:tcPr>
          <w:p w14:paraId="639FBF3B" w14:textId="77777777" w:rsidR="00F37EA6" w:rsidRPr="003B3588" w:rsidRDefault="00F37EA6" w:rsidP="00E12F5D">
            <w:r>
              <w:t>Other chronic cystitis</w:t>
            </w:r>
          </w:p>
        </w:tc>
      </w:tr>
      <w:tr w:rsidR="00F37EA6" w:rsidRPr="003B3588" w14:paraId="5F5001F6" w14:textId="77777777" w:rsidTr="002E1061">
        <w:tc>
          <w:tcPr>
            <w:tcW w:w="1818" w:type="dxa"/>
          </w:tcPr>
          <w:p w14:paraId="56E4AE1D" w14:textId="77777777" w:rsidR="00F37EA6" w:rsidRPr="003B3588" w:rsidRDefault="00F37EA6" w:rsidP="004B004A">
            <w:pPr>
              <w:jc w:val="both"/>
            </w:pPr>
            <w:r w:rsidRPr="003B3588">
              <w:lastRenderedPageBreak/>
              <w:t>N31.0-N31.9</w:t>
            </w:r>
          </w:p>
        </w:tc>
        <w:tc>
          <w:tcPr>
            <w:tcW w:w="7919" w:type="dxa"/>
          </w:tcPr>
          <w:p w14:paraId="1DF87292" w14:textId="77777777" w:rsidR="00F37EA6" w:rsidRPr="003B3588" w:rsidRDefault="00F37EA6" w:rsidP="00E12F5D">
            <w:r w:rsidRPr="003B3588">
              <w:t xml:space="preserve">Neuromuscular dysfunction of bladder, </w:t>
            </w:r>
            <w:r w:rsidR="004B004A">
              <w:t>not elsewhere classified</w:t>
            </w:r>
          </w:p>
        </w:tc>
      </w:tr>
      <w:tr w:rsidR="00F37EA6" w:rsidRPr="003B3588" w14:paraId="4016BD81" w14:textId="77777777" w:rsidTr="002E1061">
        <w:tc>
          <w:tcPr>
            <w:tcW w:w="1818" w:type="dxa"/>
          </w:tcPr>
          <w:p w14:paraId="1B6819AE" w14:textId="77777777" w:rsidR="00F37EA6" w:rsidRPr="003B3588" w:rsidRDefault="00F37EA6" w:rsidP="004B004A">
            <w:pPr>
              <w:jc w:val="both"/>
            </w:pPr>
            <w:r w:rsidRPr="003B3588">
              <w:t>N32.0-N32.89</w:t>
            </w:r>
          </w:p>
        </w:tc>
        <w:tc>
          <w:tcPr>
            <w:tcW w:w="7919" w:type="dxa"/>
          </w:tcPr>
          <w:p w14:paraId="03ADDD7D" w14:textId="77777777" w:rsidR="00F37EA6" w:rsidRPr="003B3588" w:rsidRDefault="00F37EA6" w:rsidP="00E12F5D">
            <w:r w:rsidRPr="003B3588">
              <w:t>Other disorders of bladder</w:t>
            </w:r>
          </w:p>
        </w:tc>
      </w:tr>
      <w:tr w:rsidR="00F37EA6" w:rsidRPr="003B3588" w14:paraId="01BCAA3F" w14:textId="77777777" w:rsidTr="002E1061">
        <w:tc>
          <w:tcPr>
            <w:tcW w:w="1818" w:type="dxa"/>
          </w:tcPr>
          <w:p w14:paraId="4370E770" w14:textId="77777777" w:rsidR="00F37EA6" w:rsidRPr="003B3588" w:rsidRDefault="00F37EA6" w:rsidP="004B004A">
            <w:pPr>
              <w:jc w:val="both"/>
            </w:pPr>
            <w:r w:rsidRPr="003B3588">
              <w:t>N39.</w:t>
            </w:r>
            <w:r>
              <w:t>0</w:t>
            </w:r>
            <w:r w:rsidRPr="003B3588">
              <w:t>-N39.8</w:t>
            </w:r>
          </w:p>
        </w:tc>
        <w:tc>
          <w:tcPr>
            <w:tcW w:w="7919" w:type="dxa"/>
          </w:tcPr>
          <w:p w14:paraId="5D6B8AE7" w14:textId="77777777" w:rsidR="00F37EA6" w:rsidRPr="003B3588" w:rsidRDefault="00F37EA6" w:rsidP="00E12F5D">
            <w:r w:rsidRPr="003B3588">
              <w:t>Other disorders of urinary system</w:t>
            </w:r>
          </w:p>
        </w:tc>
      </w:tr>
      <w:tr w:rsidR="00F37EA6" w:rsidRPr="003B3588" w14:paraId="5F76D000" w14:textId="77777777" w:rsidTr="002E1061">
        <w:tc>
          <w:tcPr>
            <w:tcW w:w="1818" w:type="dxa"/>
          </w:tcPr>
          <w:p w14:paraId="3DDBDCB2" w14:textId="77777777" w:rsidR="00F37EA6" w:rsidRPr="003B3588" w:rsidRDefault="00F37EA6" w:rsidP="004B004A">
            <w:pPr>
              <w:jc w:val="both"/>
            </w:pPr>
            <w:r>
              <w:t>N81.0-N81.9</w:t>
            </w:r>
          </w:p>
        </w:tc>
        <w:tc>
          <w:tcPr>
            <w:tcW w:w="7919" w:type="dxa"/>
          </w:tcPr>
          <w:p w14:paraId="36AE8025" w14:textId="77777777" w:rsidR="00F37EA6" w:rsidRPr="003B3588" w:rsidRDefault="00F37EA6" w:rsidP="00E12F5D">
            <w:r>
              <w:t>Female genital prolapse</w:t>
            </w:r>
          </w:p>
        </w:tc>
      </w:tr>
      <w:tr w:rsidR="00F37EA6" w:rsidRPr="003B3588" w14:paraId="484EFC7F" w14:textId="77777777" w:rsidTr="002E1061">
        <w:tc>
          <w:tcPr>
            <w:tcW w:w="1818" w:type="dxa"/>
          </w:tcPr>
          <w:p w14:paraId="6C16718E" w14:textId="77777777" w:rsidR="00F37EA6" w:rsidRPr="003B3588" w:rsidRDefault="00F37EA6" w:rsidP="004B004A">
            <w:pPr>
              <w:jc w:val="both"/>
            </w:pPr>
            <w:r w:rsidRPr="003B3588">
              <w:t>Q05.0-Q0</w:t>
            </w:r>
            <w:r>
              <w:t>5</w:t>
            </w:r>
            <w:r w:rsidRPr="003B3588">
              <w:t>.9</w:t>
            </w:r>
          </w:p>
        </w:tc>
        <w:tc>
          <w:tcPr>
            <w:tcW w:w="7919" w:type="dxa"/>
          </w:tcPr>
          <w:p w14:paraId="340F4175" w14:textId="77777777" w:rsidR="00F37EA6" w:rsidRPr="003B3588" w:rsidRDefault="00F37EA6" w:rsidP="00E12F5D">
            <w:r w:rsidRPr="003B3588">
              <w:t xml:space="preserve">Spina bifida </w:t>
            </w:r>
          </w:p>
        </w:tc>
      </w:tr>
      <w:tr w:rsidR="00F37EA6" w:rsidRPr="003B3588" w14:paraId="0F69109E" w14:textId="77777777" w:rsidTr="002E1061">
        <w:tc>
          <w:tcPr>
            <w:tcW w:w="1818" w:type="dxa"/>
          </w:tcPr>
          <w:p w14:paraId="1939698F" w14:textId="77777777" w:rsidR="00F37EA6" w:rsidRPr="003B3588" w:rsidRDefault="00F37EA6" w:rsidP="004B004A">
            <w:pPr>
              <w:jc w:val="both"/>
            </w:pPr>
            <w:r>
              <w:t>Q06.0-Q06.9</w:t>
            </w:r>
          </w:p>
        </w:tc>
        <w:tc>
          <w:tcPr>
            <w:tcW w:w="7919" w:type="dxa"/>
          </w:tcPr>
          <w:p w14:paraId="4A93491F" w14:textId="77777777" w:rsidR="00F37EA6" w:rsidRPr="003B3588" w:rsidRDefault="00F37EA6" w:rsidP="00E12F5D">
            <w:r>
              <w:t>Other congenital malformations of spinal cord</w:t>
            </w:r>
          </w:p>
        </w:tc>
      </w:tr>
      <w:tr w:rsidR="00F37EA6" w:rsidRPr="003B3588" w14:paraId="6EA4F1F8" w14:textId="77777777" w:rsidTr="002E1061">
        <w:tc>
          <w:tcPr>
            <w:tcW w:w="1818" w:type="dxa"/>
          </w:tcPr>
          <w:p w14:paraId="4CAF3585" w14:textId="00C461E3" w:rsidR="00F37EA6" w:rsidRPr="003B3588" w:rsidRDefault="00F37EA6" w:rsidP="004B004A">
            <w:pPr>
              <w:jc w:val="both"/>
            </w:pPr>
            <w:r>
              <w:t>Q07.0</w:t>
            </w:r>
            <w:r w:rsidR="00F35C7E">
              <w:t>0</w:t>
            </w:r>
            <w:r>
              <w:t>-Q07.9</w:t>
            </w:r>
          </w:p>
        </w:tc>
        <w:tc>
          <w:tcPr>
            <w:tcW w:w="7919" w:type="dxa"/>
          </w:tcPr>
          <w:p w14:paraId="78A50B07" w14:textId="77777777" w:rsidR="00F37EA6" w:rsidRPr="00CE1026" w:rsidRDefault="00F37EA6" w:rsidP="00E12F5D">
            <w:r w:rsidRPr="00CE1026">
              <w:t>Other congenital malformations of</w:t>
            </w:r>
            <w:r>
              <w:t xml:space="preserve"> nervous system</w:t>
            </w:r>
          </w:p>
        </w:tc>
      </w:tr>
      <w:tr w:rsidR="006D1CB4" w:rsidRPr="003B3588" w14:paraId="6FE0A8FD" w14:textId="77777777" w:rsidTr="002E1061">
        <w:tc>
          <w:tcPr>
            <w:tcW w:w="1818" w:type="dxa"/>
          </w:tcPr>
          <w:p w14:paraId="1FCDAFFF" w14:textId="3A5F78E3" w:rsidR="006D1CB4" w:rsidRDefault="006D1CB4" w:rsidP="004B004A">
            <w:pPr>
              <w:jc w:val="both"/>
            </w:pPr>
            <w:r>
              <w:t>Q42.0-Q42.3</w:t>
            </w:r>
          </w:p>
        </w:tc>
        <w:tc>
          <w:tcPr>
            <w:tcW w:w="7919" w:type="dxa"/>
          </w:tcPr>
          <w:p w14:paraId="30E58308" w14:textId="14AFC771" w:rsidR="006D1CB4" w:rsidRPr="00CE1026" w:rsidRDefault="00821A89" w:rsidP="00821A89">
            <w:r>
              <w:t>Congenital absence, atresia and stenosis of large intestine</w:t>
            </w:r>
          </w:p>
        </w:tc>
      </w:tr>
      <w:tr w:rsidR="00F37EA6" w:rsidRPr="003B3588" w14:paraId="12BE3258" w14:textId="77777777" w:rsidTr="002E1061">
        <w:tc>
          <w:tcPr>
            <w:tcW w:w="1818" w:type="dxa"/>
          </w:tcPr>
          <w:p w14:paraId="48E39C9F" w14:textId="77777777" w:rsidR="00F37EA6" w:rsidRPr="003B3588" w:rsidRDefault="00F37EA6" w:rsidP="004B004A">
            <w:pPr>
              <w:jc w:val="both"/>
            </w:pPr>
            <w:r w:rsidRPr="003B3588">
              <w:t>R33.8</w:t>
            </w:r>
          </w:p>
        </w:tc>
        <w:tc>
          <w:tcPr>
            <w:tcW w:w="7919" w:type="dxa"/>
          </w:tcPr>
          <w:p w14:paraId="5EFC5E65" w14:textId="77777777" w:rsidR="00F37EA6" w:rsidRPr="003B3588" w:rsidRDefault="00F37EA6" w:rsidP="00E12F5D">
            <w:r w:rsidRPr="003B3588">
              <w:t>Other retention of urine</w:t>
            </w:r>
          </w:p>
        </w:tc>
      </w:tr>
      <w:tr w:rsidR="00F37EA6" w:rsidRPr="003B3588" w14:paraId="4CDC430A" w14:textId="77777777" w:rsidTr="002E1061">
        <w:tc>
          <w:tcPr>
            <w:tcW w:w="1818" w:type="dxa"/>
          </w:tcPr>
          <w:p w14:paraId="259E11CB" w14:textId="77777777" w:rsidR="00F37EA6" w:rsidRPr="003B3588" w:rsidRDefault="00F37EA6" w:rsidP="004B004A">
            <w:pPr>
              <w:jc w:val="both"/>
            </w:pPr>
            <w:r>
              <w:t>R33.9</w:t>
            </w:r>
          </w:p>
        </w:tc>
        <w:tc>
          <w:tcPr>
            <w:tcW w:w="7919" w:type="dxa"/>
          </w:tcPr>
          <w:p w14:paraId="3C1D5896" w14:textId="77777777" w:rsidR="00F37EA6" w:rsidRPr="003B3588" w:rsidRDefault="00F37EA6" w:rsidP="00E12F5D">
            <w:r>
              <w:t>Retention of urine, unspecified</w:t>
            </w:r>
          </w:p>
        </w:tc>
      </w:tr>
      <w:tr w:rsidR="00F37EA6" w:rsidRPr="003B3588" w14:paraId="3F35481E" w14:textId="77777777" w:rsidTr="002E1061">
        <w:tc>
          <w:tcPr>
            <w:tcW w:w="1818" w:type="dxa"/>
          </w:tcPr>
          <w:p w14:paraId="3904BA97" w14:textId="77777777" w:rsidR="00F37EA6" w:rsidRPr="003B3588" w:rsidRDefault="00F37EA6" w:rsidP="004B004A">
            <w:pPr>
              <w:jc w:val="both"/>
            </w:pPr>
            <w:r w:rsidRPr="003B3588">
              <w:t>R39.81</w:t>
            </w:r>
          </w:p>
        </w:tc>
        <w:tc>
          <w:tcPr>
            <w:tcW w:w="7919" w:type="dxa"/>
          </w:tcPr>
          <w:p w14:paraId="0576F22C" w14:textId="77777777" w:rsidR="00F37EA6" w:rsidRPr="003B3588" w:rsidRDefault="00F37EA6" w:rsidP="00E12F5D">
            <w:r w:rsidRPr="003B3588">
              <w:t>Functional urinary incontinence</w:t>
            </w:r>
          </w:p>
        </w:tc>
      </w:tr>
      <w:tr w:rsidR="00EA46A4" w:rsidRPr="003B3588" w14:paraId="7177798A" w14:textId="77777777" w:rsidTr="002E1061">
        <w:tc>
          <w:tcPr>
            <w:tcW w:w="1818" w:type="dxa"/>
          </w:tcPr>
          <w:p w14:paraId="7A1C8155" w14:textId="77777777" w:rsidR="00EA46A4" w:rsidRPr="003B3588" w:rsidRDefault="00EA46A4" w:rsidP="004B004A">
            <w:pPr>
              <w:jc w:val="both"/>
            </w:pPr>
            <w:r>
              <w:t>S34.0</w:t>
            </w:r>
            <w:r w:rsidR="009E3492">
              <w:t>1XA</w:t>
            </w:r>
            <w:r>
              <w:t>-S34.9XXS</w:t>
            </w:r>
          </w:p>
        </w:tc>
        <w:tc>
          <w:tcPr>
            <w:tcW w:w="7919" w:type="dxa"/>
          </w:tcPr>
          <w:p w14:paraId="329AA34C" w14:textId="77777777" w:rsidR="00EA46A4" w:rsidRPr="003B3588" w:rsidRDefault="00EA46A4" w:rsidP="00E12F5D">
            <w:r>
              <w:t xml:space="preserve">Injury of lumbar and sacral spinal cord and nerves at abdomen, lower back and pelvis level  </w:t>
            </w:r>
          </w:p>
        </w:tc>
      </w:tr>
    </w:tbl>
    <w:p w14:paraId="0F7EA8A9" w14:textId="77777777" w:rsidR="00350F22" w:rsidRDefault="00350F22" w:rsidP="00AF5490"/>
    <w:p w14:paraId="091902E3" w14:textId="77777777" w:rsidR="0037682F" w:rsidRPr="00F37EA6" w:rsidDel="00077381" w:rsidRDefault="0037682F" w:rsidP="00F37EA6">
      <w:pPr>
        <w:rPr>
          <w:szCs w:val="28"/>
        </w:rPr>
      </w:pPr>
      <w:r w:rsidRPr="00F37EA6">
        <w:rPr>
          <w:szCs w:val="28"/>
        </w:rPr>
        <w:t>In addition to the above ICD-10 codes, the following additional diagnosis codes support medical necessity for CPT code 51798.</w:t>
      </w:r>
    </w:p>
    <w:tbl>
      <w:tblPr>
        <w:tblW w:w="5207"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607"/>
        <w:gridCol w:w="8130"/>
      </w:tblGrid>
      <w:tr w:rsidR="00F37EA6" w:rsidRPr="00B777AF" w14:paraId="3D639D83" w14:textId="77777777" w:rsidTr="002E1061">
        <w:trPr>
          <w:tblHeader/>
        </w:trPr>
        <w:tc>
          <w:tcPr>
            <w:tcW w:w="1607" w:type="dxa"/>
            <w:shd w:val="clear" w:color="auto" w:fill="00548C"/>
          </w:tcPr>
          <w:p w14:paraId="1F906761" w14:textId="77777777" w:rsidR="00F37EA6" w:rsidRPr="00277B9B" w:rsidRDefault="00F37EA6" w:rsidP="004B004A">
            <w:pPr>
              <w:rPr>
                <w:b/>
                <w:bCs/>
                <w:color w:val="FFFFFF"/>
              </w:rPr>
            </w:pPr>
            <w:r w:rsidRPr="00277B9B">
              <w:rPr>
                <w:b/>
                <w:color w:val="FFFFFF"/>
              </w:rPr>
              <w:t>ICD-10-CM Code</w:t>
            </w:r>
          </w:p>
        </w:tc>
        <w:tc>
          <w:tcPr>
            <w:tcW w:w="8131" w:type="dxa"/>
            <w:shd w:val="clear" w:color="auto" w:fill="00548C"/>
          </w:tcPr>
          <w:p w14:paraId="01DAAE76" w14:textId="77777777" w:rsidR="00F37EA6" w:rsidRPr="00277B9B" w:rsidRDefault="00F37EA6" w:rsidP="004B004A">
            <w:pPr>
              <w:rPr>
                <w:b/>
                <w:bCs/>
                <w:color w:val="FFFFFF"/>
              </w:rPr>
            </w:pPr>
            <w:r w:rsidRPr="00277B9B">
              <w:rPr>
                <w:b/>
                <w:color w:val="FFFFFF"/>
              </w:rPr>
              <w:t>Description</w:t>
            </w:r>
          </w:p>
        </w:tc>
      </w:tr>
      <w:tr w:rsidR="00F37EA6" w:rsidRPr="003B3588" w14:paraId="6FB00B9B" w14:textId="77777777" w:rsidTr="002E1061">
        <w:tc>
          <w:tcPr>
            <w:tcW w:w="1607" w:type="dxa"/>
          </w:tcPr>
          <w:p w14:paraId="319E90B8" w14:textId="77777777" w:rsidR="00F37EA6" w:rsidRPr="003B3588" w:rsidRDefault="00F37EA6" w:rsidP="004B004A">
            <w:r w:rsidRPr="003B3588">
              <w:t>N13.8</w:t>
            </w:r>
          </w:p>
        </w:tc>
        <w:tc>
          <w:tcPr>
            <w:tcW w:w="8131" w:type="dxa"/>
          </w:tcPr>
          <w:p w14:paraId="2B22C36E" w14:textId="77777777" w:rsidR="00F37EA6" w:rsidRPr="003B3588" w:rsidRDefault="00F37EA6" w:rsidP="004B004A">
            <w:r w:rsidRPr="003B3588">
              <w:t>Other obstructive and reflux uropathy</w:t>
            </w:r>
          </w:p>
        </w:tc>
      </w:tr>
      <w:tr w:rsidR="00F37EA6" w:rsidRPr="003B3588" w14:paraId="7B8959A5" w14:textId="77777777" w:rsidTr="002E1061">
        <w:tc>
          <w:tcPr>
            <w:tcW w:w="1607" w:type="dxa"/>
          </w:tcPr>
          <w:p w14:paraId="4FBA1F6F" w14:textId="77777777" w:rsidR="00F37EA6" w:rsidRPr="003B3588" w:rsidRDefault="00F37EA6" w:rsidP="004B004A">
            <w:r w:rsidRPr="003B3588">
              <w:t>N40.1</w:t>
            </w:r>
          </w:p>
        </w:tc>
        <w:tc>
          <w:tcPr>
            <w:tcW w:w="8131" w:type="dxa"/>
          </w:tcPr>
          <w:p w14:paraId="3254D558" w14:textId="77777777" w:rsidR="00F37EA6" w:rsidRPr="003B3588" w:rsidRDefault="00D77615" w:rsidP="00D77615">
            <w:r>
              <w:t xml:space="preserve">Benign prostatic hyperplasia </w:t>
            </w:r>
            <w:r w:rsidR="00F37EA6" w:rsidRPr="003B3588">
              <w:t>with lower urinary tract symptoms</w:t>
            </w:r>
          </w:p>
        </w:tc>
      </w:tr>
      <w:tr w:rsidR="00F37EA6" w:rsidRPr="003B3588" w14:paraId="64AA2B14" w14:textId="77777777" w:rsidTr="002E1061">
        <w:tc>
          <w:tcPr>
            <w:tcW w:w="1607" w:type="dxa"/>
          </w:tcPr>
          <w:p w14:paraId="5F41167C" w14:textId="77777777" w:rsidR="00F37EA6" w:rsidRPr="003B3588" w:rsidRDefault="00F37EA6" w:rsidP="004B004A">
            <w:r>
              <w:t>N40.3</w:t>
            </w:r>
          </w:p>
        </w:tc>
        <w:tc>
          <w:tcPr>
            <w:tcW w:w="8131" w:type="dxa"/>
          </w:tcPr>
          <w:p w14:paraId="5F088383" w14:textId="77777777" w:rsidR="00F37EA6" w:rsidRPr="0053435C" w:rsidRDefault="00F37EA6" w:rsidP="004B004A">
            <w:r>
              <w:t xml:space="preserve">Nodular </w:t>
            </w:r>
            <w:r w:rsidRPr="0053435C">
              <w:t>prostate with lower urinary tract symptoms</w:t>
            </w:r>
          </w:p>
        </w:tc>
      </w:tr>
      <w:tr w:rsidR="00F37EA6" w:rsidRPr="003B3588" w14:paraId="41A29A9C" w14:textId="77777777" w:rsidTr="002E1061">
        <w:tc>
          <w:tcPr>
            <w:tcW w:w="1607" w:type="dxa"/>
          </w:tcPr>
          <w:p w14:paraId="6F438D15" w14:textId="77777777" w:rsidR="00F37EA6" w:rsidRPr="003B3588" w:rsidRDefault="00F37EA6" w:rsidP="004B004A">
            <w:r w:rsidRPr="003B3588">
              <w:t>R33.0-R33.9</w:t>
            </w:r>
          </w:p>
        </w:tc>
        <w:tc>
          <w:tcPr>
            <w:tcW w:w="8131" w:type="dxa"/>
          </w:tcPr>
          <w:p w14:paraId="0D885146" w14:textId="77777777" w:rsidR="00F37EA6" w:rsidRPr="003B3588" w:rsidRDefault="00F37EA6" w:rsidP="004B004A">
            <w:r w:rsidRPr="003B3588">
              <w:t>Retention of urine</w:t>
            </w:r>
          </w:p>
        </w:tc>
      </w:tr>
      <w:tr w:rsidR="00F37EA6" w:rsidRPr="003B3588" w14:paraId="1ED1C836" w14:textId="77777777" w:rsidTr="002E1061">
        <w:tc>
          <w:tcPr>
            <w:tcW w:w="1607" w:type="dxa"/>
          </w:tcPr>
          <w:p w14:paraId="161224A5" w14:textId="77777777" w:rsidR="00F37EA6" w:rsidRPr="003B3588" w:rsidRDefault="00F37EA6" w:rsidP="004B004A">
            <w:r w:rsidRPr="003B3588">
              <w:t>R35.0</w:t>
            </w:r>
          </w:p>
        </w:tc>
        <w:tc>
          <w:tcPr>
            <w:tcW w:w="8131" w:type="dxa"/>
          </w:tcPr>
          <w:p w14:paraId="51149CD7" w14:textId="77777777" w:rsidR="00F37EA6" w:rsidRPr="003B3588" w:rsidRDefault="00F37EA6" w:rsidP="004B004A">
            <w:r w:rsidRPr="003B3588">
              <w:t>Frequency of micturition</w:t>
            </w:r>
          </w:p>
        </w:tc>
      </w:tr>
    </w:tbl>
    <w:p w14:paraId="70FA8CDE" w14:textId="77777777" w:rsidR="00667A9E" w:rsidRDefault="00667A9E" w:rsidP="00AF5490"/>
    <w:tbl>
      <w:tblPr>
        <w:tblStyle w:val="LightList-Accent1"/>
        <w:tblW w:w="9748"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678"/>
        <w:gridCol w:w="810"/>
        <w:gridCol w:w="1260"/>
      </w:tblGrid>
      <w:tr w:rsidR="00B777AF" w:rsidRPr="00B777AF" w14:paraId="14C92829" w14:textId="77777777" w:rsidTr="002E1061">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678" w:type="dxa"/>
            <w:tcBorders>
              <w:left w:val="none" w:sz="0" w:space="0" w:color="auto"/>
              <w:right w:val="none" w:sz="0" w:space="0" w:color="auto"/>
            </w:tcBorders>
            <w:shd w:val="clear" w:color="auto" w:fill="00548C"/>
          </w:tcPr>
          <w:p w14:paraId="56FB04E7" w14:textId="77777777" w:rsidR="00B777AF" w:rsidRPr="00B777AF" w:rsidRDefault="00B777AF" w:rsidP="00B777AF">
            <w:pPr>
              <w:rPr>
                <w:bCs w:val="0"/>
              </w:rPr>
            </w:pPr>
            <w:bookmarkStart w:id="1" w:name="Revision_Log"/>
            <w:r w:rsidRPr="00B777AF">
              <w:rPr>
                <w:bCs w:val="0"/>
              </w:rPr>
              <w:t>Reviews</w:t>
            </w:r>
            <w:r>
              <w:rPr>
                <w:bCs w:val="0"/>
              </w:rPr>
              <w:t>, Revisions, and Approvals</w:t>
            </w:r>
            <w:bookmarkEnd w:id="1"/>
          </w:p>
        </w:tc>
        <w:tc>
          <w:tcPr>
            <w:tcW w:w="810" w:type="dxa"/>
            <w:shd w:val="clear" w:color="auto" w:fill="00548C"/>
          </w:tcPr>
          <w:p w14:paraId="76F7ED41" w14:textId="77777777" w:rsidR="00B777AF" w:rsidRPr="00B777AF" w:rsidRDefault="00B777AF" w:rsidP="005776FD">
            <w:pPr>
              <w:jc w:val="center"/>
              <w:cnfStyle w:val="100000000000" w:firstRow="1" w:lastRow="0" w:firstColumn="0" w:lastColumn="0" w:oddVBand="0" w:evenVBand="0" w:oddHBand="0" w:evenHBand="0" w:firstRowFirstColumn="0" w:firstRowLastColumn="0" w:lastRowFirstColumn="0" w:lastRowLastColumn="0"/>
              <w:rPr>
                <w:bCs w:val="0"/>
              </w:rPr>
            </w:pPr>
            <w:r w:rsidRPr="00B777AF">
              <w:rPr>
                <w:bCs w:val="0"/>
              </w:rPr>
              <w:t>Date</w:t>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right w:val="none" w:sz="0" w:space="0" w:color="auto"/>
            </w:tcBorders>
            <w:shd w:val="clear" w:color="auto" w:fill="00548C"/>
          </w:tcPr>
          <w:p w14:paraId="2055C090" w14:textId="77777777" w:rsidR="00B777AF" w:rsidRPr="00B777AF" w:rsidRDefault="001818D7" w:rsidP="00857C10">
            <w:pPr>
              <w:jc w:val="center"/>
              <w:rPr>
                <w:bCs w:val="0"/>
              </w:rPr>
            </w:pPr>
            <w:r>
              <w:rPr>
                <w:bCs w:val="0"/>
              </w:rPr>
              <w:t>Approval</w:t>
            </w:r>
            <w:r w:rsidR="00B777AF" w:rsidRPr="00B777AF">
              <w:rPr>
                <w:bCs w:val="0"/>
              </w:rPr>
              <w:t xml:space="preserve"> Date</w:t>
            </w:r>
          </w:p>
        </w:tc>
      </w:tr>
      <w:tr w:rsidR="00B777AF" w14:paraId="78416004" w14:textId="77777777" w:rsidTr="002E10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678" w:type="dxa"/>
            <w:tcBorders>
              <w:top w:val="none" w:sz="0" w:space="0" w:color="auto"/>
              <w:left w:val="none" w:sz="0" w:space="0" w:color="auto"/>
              <w:bottom w:val="none" w:sz="0" w:space="0" w:color="auto"/>
              <w:right w:val="none" w:sz="0" w:space="0" w:color="auto"/>
            </w:tcBorders>
          </w:tcPr>
          <w:p w14:paraId="04166A31" w14:textId="77777777" w:rsidR="00972CD7" w:rsidRDefault="0037682F" w:rsidP="0037682F">
            <w:pPr>
              <w:tabs>
                <w:tab w:val="num" w:pos="720"/>
              </w:tabs>
            </w:pPr>
            <w:r>
              <w:t>Policy developed</w:t>
            </w:r>
          </w:p>
        </w:tc>
        <w:tc>
          <w:tcPr>
            <w:tcW w:w="810" w:type="dxa"/>
            <w:tcBorders>
              <w:top w:val="none" w:sz="0" w:space="0" w:color="auto"/>
              <w:bottom w:val="none" w:sz="0" w:space="0" w:color="auto"/>
            </w:tcBorders>
          </w:tcPr>
          <w:p w14:paraId="6AF47D3D" w14:textId="77777777" w:rsidR="00B777AF" w:rsidRDefault="0037682F" w:rsidP="005776FD">
            <w:pPr>
              <w:jc w:val="center"/>
              <w:cnfStyle w:val="000000100000" w:firstRow="0" w:lastRow="0" w:firstColumn="0" w:lastColumn="0" w:oddVBand="0" w:evenVBand="0" w:oddHBand="1" w:evenHBand="0" w:firstRowFirstColumn="0" w:firstRowLastColumn="0" w:lastRowFirstColumn="0" w:lastRowLastColumn="0"/>
            </w:pPr>
            <w:r>
              <w:t>09/15</w:t>
            </w:r>
          </w:p>
        </w:tc>
        <w:tc>
          <w:tcPr>
            <w:cnfStyle w:val="000010000000" w:firstRow="0" w:lastRow="0" w:firstColumn="0" w:lastColumn="0" w:oddVBand="1"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tcPr>
          <w:p w14:paraId="40758A24" w14:textId="77777777" w:rsidR="00B777AF" w:rsidRDefault="00972CD7" w:rsidP="00857C10">
            <w:pPr>
              <w:jc w:val="center"/>
            </w:pPr>
            <w:r>
              <w:t>10/15</w:t>
            </w:r>
          </w:p>
        </w:tc>
      </w:tr>
      <w:tr w:rsidR="00972CD7" w14:paraId="439896C7" w14:textId="77777777" w:rsidTr="002E1061">
        <w:tc>
          <w:tcPr>
            <w:cnfStyle w:val="000010000000" w:firstRow="0" w:lastRow="0" w:firstColumn="0" w:lastColumn="0" w:oddVBand="1" w:evenVBand="0" w:oddHBand="0" w:evenHBand="0" w:firstRowFirstColumn="0" w:firstRowLastColumn="0" w:lastRowFirstColumn="0" w:lastRowLastColumn="0"/>
            <w:tcW w:w="7678" w:type="dxa"/>
          </w:tcPr>
          <w:p w14:paraId="7F0D6A97" w14:textId="77777777" w:rsidR="00972CD7" w:rsidRDefault="00972CD7" w:rsidP="0037682F">
            <w:pPr>
              <w:tabs>
                <w:tab w:val="num" w:pos="720"/>
              </w:tabs>
            </w:pPr>
            <w:r>
              <w:t>Removed ICD-10 codes R34, R39.0 – R39.16 due to no support in literature</w:t>
            </w:r>
          </w:p>
        </w:tc>
        <w:tc>
          <w:tcPr>
            <w:tcW w:w="810" w:type="dxa"/>
          </w:tcPr>
          <w:p w14:paraId="40BF2DD9" w14:textId="77777777" w:rsidR="00972CD7" w:rsidRDefault="00972CD7" w:rsidP="005776FD">
            <w:pPr>
              <w:jc w:val="center"/>
              <w:cnfStyle w:val="000000000000" w:firstRow="0" w:lastRow="0" w:firstColumn="0" w:lastColumn="0" w:oddVBand="0" w:evenVBand="0" w:oddHBand="0" w:evenHBand="0" w:firstRowFirstColumn="0" w:firstRowLastColumn="0" w:lastRowFirstColumn="0" w:lastRowLastColumn="0"/>
            </w:pPr>
            <w:r>
              <w:t>02/16</w:t>
            </w:r>
          </w:p>
        </w:tc>
        <w:tc>
          <w:tcPr>
            <w:cnfStyle w:val="000010000000" w:firstRow="0" w:lastRow="0" w:firstColumn="0" w:lastColumn="0" w:oddVBand="1" w:evenVBand="0" w:oddHBand="0" w:evenHBand="0" w:firstRowFirstColumn="0" w:firstRowLastColumn="0" w:lastRowFirstColumn="0" w:lastRowLastColumn="0"/>
            <w:tcW w:w="1260" w:type="dxa"/>
          </w:tcPr>
          <w:p w14:paraId="014EB594" w14:textId="77777777" w:rsidR="00972CD7" w:rsidRDefault="00972CD7" w:rsidP="00857C10">
            <w:pPr>
              <w:jc w:val="center"/>
            </w:pPr>
          </w:p>
        </w:tc>
      </w:tr>
      <w:tr w:rsidR="004955EE" w14:paraId="4071A2BE" w14:textId="77777777" w:rsidTr="002E10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678" w:type="dxa"/>
          </w:tcPr>
          <w:p w14:paraId="4FDD29FC" w14:textId="77777777" w:rsidR="004955EE" w:rsidRDefault="004955EE" w:rsidP="0037682F">
            <w:pPr>
              <w:tabs>
                <w:tab w:val="num" w:pos="720"/>
              </w:tabs>
            </w:pPr>
            <w:r>
              <w:t>References reviewed and updated</w:t>
            </w:r>
          </w:p>
          <w:p w14:paraId="72A077BE" w14:textId="77777777" w:rsidR="00F37EA6" w:rsidRDefault="00F37EA6" w:rsidP="0037682F">
            <w:pPr>
              <w:tabs>
                <w:tab w:val="num" w:pos="720"/>
              </w:tabs>
            </w:pPr>
            <w:r>
              <w:t>Updated ICD-10 code list</w:t>
            </w:r>
          </w:p>
        </w:tc>
        <w:tc>
          <w:tcPr>
            <w:tcW w:w="810" w:type="dxa"/>
          </w:tcPr>
          <w:p w14:paraId="111EB401" w14:textId="77777777" w:rsidR="004955EE" w:rsidRDefault="004955EE" w:rsidP="005776FD">
            <w:pPr>
              <w:jc w:val="center"/>
              <w:cnfStyle w:val="000000100000" w:firstRow="0" w:lastRow="0" w:firstColumn="0" w:lastColumn="0" w:oddVBand="0" w:evenVBand="0" w:oddHBand="1" w:evenHBand="0" w:firstRowFirstColumn="0" w:firstRowLastColumn="0" w:lastRowFirstColumn="0" w:lastRowLastColumn="0"/>
            </w:pPr>
            <w:r>
              <w:t>10/16</w:t>
            </w:r>
          </w:p>
        </w:tc>
        <w:tc>
          <w:tcPr>
            <w:cnfStyle w:val="000010000000" w:firstRow="0" w:lastRow="0" w:firstColumn="0" w:lastColumn="0" w:oddVBand="1" w:evenVBand="0" w:oddHBand="0" w:evenHBand="0" w:firstRowFirstColumn="0" w:firstRowLastColumn="0" w:lastRowFirstColumn="0" w:lastRowLastColumn="0"/>
            <w:tcW w:w="1260" w:type="dxa"/>
          </w:tcPr>
          <w:p w14:paraId="61EC4721" w14:textId="77777777" w:rsidR="004955EE" w:rsidRDefault="007066A9" w:rsidP="00857C10">
            <w:pPr>
              <w:jc w:val="center"/>
            </w:pPr>
            <w:r>
              <w:t>10/16</w:t>
            </w:r>
          </w:p>
        </w:tc>
      </w:tr>
      <w:tr w:rsidR="0081684F" w14:paraId="33258186" w14:textId="77777777" w:rsidTr="002E1061">
        <w:tc>
          <w:tcPr>
            <w:cnfStyle w:val="000010000000" w:firstRow="0" w:lastRow="0" w:firstColumn="0" w:lastColumn="0" w:oddVBand="1" w:evenVBand="0" w:oddHBand="0" w:evenHBand="0" w:firstRowFirstColumn="0" w:firstRowLastColumn="0" w:lastRowFirstColumn="0" w:lastRowLastColumn="0"/>
            <w:tcW w:w="7678" w:type="dxa"/>
          </w:tcPr>
          <w:p w14:paraId="627D201F" w14:textId="77777777" w:rsidR="00D77615" w:rsidRDefault="008219E5" w:rsidP="0037682F">
            <w:pPr>
              <w:tabs>
                <w:tab w:val="num" w:pos="720"/>
              </w:tabs>
            </w:pPr>
            <w:r>
              <w:t>References reviewed and updated</w:t>
            </w:r>
            <w:r w:rsidR="00D77615">
              <w:t>.</w:t>
            </w:r>
            <w:r w:rsidR="00C01CDE">
              <w:t xml:space="preserve"> </w:t>
            </w:r>
            <w:r w:rsidR="00175F5E">
              <w:t>Added ICD-10-CM E10.69, E11.69, and S34.0 – S34.9XXS</w:t>
            </w:r>
          </w:p>
        </w:tc>
        <w:tc>
          <w:tcPr>
            <w:tcW w:w="810" w:type="dxa"/>
          </w:tcPr>
          <w:p w14:paraId="754641F1" w14:textId="77777777" w:rsidR="0081684F" w:rsidRDefault="008219E5" w:rsidP="005776FD">
            <w:pPr>
              <w:jc w:val="center"/>
              <w:cnfStyle w:val="000000000000" w:firstRow="0" w:lastRow="0" w:firstColumn="0" w:lastColumn="0" w:oddVBand="0" w:evenVBand="0" w:oddHBand="0" w:evenHBand="0" w:firstRowFirstColumn="0" w:firstRowLastColumn="0" w:lastRowFirstColumn="0" w:lastRowLastColumn="0"/>
            </w:pPr>
            <w:r>
              <w:t>09/17</w:t>
            </w:r>
          </w:p>
        </w:tc>
        <w:tc>
          <w:tcPr>
            <w:cnfStyle w:val="000010000000" w:firstRow="0" w:lastRow="0" w:firstColumn="0" w:lastColumn="0" w:oddVBand="1" w:evenVBand="0" w:oddHBand="0" w:evenHBand="0" w:firstRowFirstColumn="0" w:firstRowLastColumn="0" w:lastRowFirstColumn="0" w:lastRowLastColumn="0"/>
            <w:tcW w:w="1260" w:type="dxa"/>
          </w:tcPr>
          <w:p w14:paraId="235C9DFC" w14:textId="77777777" w:rsidR="0081684F" w:rsidRDefault="00C01CDE" w:rsidP="00857C10">
            <w:pPr>
              <w:jc w:val="center"/>
            </w:pPr>
            <w:r>
              <w:t>10/17</w:t>
            </w:r>
          </w:p>
        </w:tc>
      </w:tr>
      <w:tr w:rsidR="0061536B" w14:paraId="10C510FB" w14:textId="77777777" w:rsidTr="002E10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678" w:type="dxa"/>
          </w:tcPr>
          <w:p w14:paraId="40E6B544" w14:textId="77777777" w:rsidR="0061536B" w:rsidRDefault="0061269D" w:rsidP="0037682F">
            <w:pPr>
              <w:tabs>
                <w:tab w:val="num" w:pos="720"/>
              </w:tabs>
            </w:pPr>
            <w:r>
              <w:t>References reviewed and updated.</w:t>
            </w:r>
            <w:r w:rsidR="00F60425">
              <w:t xml:space="preserve"> Coding reviewed.</w:t>
            </w:r>
          </w:p>
        </w:tc>
        <w:tc>
          <w:tcPr>
            <w:tcW w:w="810" w:type="dxa"/>
          </w:tcPr>
          <w:p w14:paraId="6DC4C565" w14:textId="77777777" w:rsidR="0061536B" w:rsidRDefault="0061536B" w:rsidP="00FE3357">
            <w:pPr>
              <w:jc w:val="center"/>
              <w:cnfStyle w:val="000000100000" w:firstRow="0" w:lastRow="0" w:firstColumn="0" w:lastColumn="0" w:oddVBand="0" w:evenVBand="0" w:oddHBand="1" w:evenHBand="0" w:firstRowFirstColumn="0" w:firstRowLastColumn="0" w:lastRowFirstColumn="0" w:lastRowLastColumn="0"/>
            </w:pPr>
            <w:r>
              <w:t>0</w:t>
            </w:r>
            <w:r w:rsidR="00FE3357">
              <w:t>9</w:t>
            </w:r>
            <w:r>
              <w:t>/18</w:t>
            </w:r>
          </w:p>
        </w:tc>
        <w:tc>
          <w:tcPr>
            <w:cnfStyle w:val="000010000000" w:firstRow="0" w:lastRow="0" w:firstColumn="0" w:lastColumn="0" w:oddVBand="1" w:evenVBand="0" w:oddHBand="0" w:evenHBand="0" w:firstRowFirstColumn="0" w:firstRowLastColumn="0" w:lastRowFirstColumn="0" w:lastRowLastColumn="0"/>
            <w:tcW w:w="1260" w:type="dxa"/>
          </w:tcPr>
          <w:p w14:paraId="30D5AFC6" w14:textId="77777777" w:rsidR="0061536B" w:rsidRDefault="0024387A" w:rsidP="00857C10">
            <w:pPr>
              <w:jc w:val="center"/>
            </w:pPr>
            <w:r>
              <w:t>09/18</w:t>
            </w:r>
          </w:p>
        </w:tc>
      </w:tr>
      <w:tr w:rsidR="00386317" w14:paraId="60002C06" w14:textId="77777777" w:rsidTr="002E1061">
        <w:tc>
          <w:tcPr>
            <w:cnfStyle w:val="000010000000" w:firstRow="0" w:lastRow="0" w:firstColumn="0" w:lastColumn="0" w:oddVBand="1" w:evenVBand="0" w:oddHBand="0" w:evenHBand="0" w:firstRowFirstColumn="0" w:firstRowLastColumn="0" w:lastRowFirstColumn="0" w:lastRowLastColumn="0"/>
            <w:tcW w:w="7678" w:type="dxa"/>
          </w:tcPr>
          <w:p w14:paraId="73291CAF" w14:textId="5FE755A3" w:rsidR="00386317" w:rsidRDefault="001814EF" w:rsidP="0037682F">
            <w:pPr>
              <w:tabs>
                <w:tab w:val="num" w:pos="720"/>
              </w:tabs>
            </w:pPr>
            <w:r>
              <w:t>References reviewed and updated.</w:t>
            </w:r>
            <w:r w:rsidR="00821A89">
              <w:t xml:space="preserve"> Added indication of complex anorectal malformation, along with accompanying diagnosis codes of Q42.0-Q42.3. Noted in investigational statement regarding asymptomatic patients, that evaluation of suspected urological abnormalities is appropriate in the presence of complex anorectal malformation. </w:t>
            </w:r>
          </w:p>
        </w:tc>
        <w:tc>
          <w:tcPr>
            <w:tcW w:w="810" w:type="dxa"/>
          </w:tcPr>
          <w:p w14:paraId="0B3E6BED" w14:textId="77777777" w:rsidR="00386317" w:rsidRDefault="001814EF" w:rsidP="00FE3357">
            <w:pPr>
              <w:jc w:val="center"/>
              <w:cnfStyle w:val="000000000000" w:firstRow="0" w:lastRow="0" w:firstColumn="0" w:lastColumn="0" w:oddVBand="0" w:evenVBand="0" w:oddHBand="0" w:evenHBand="0" w:firstRowFirstColumn="0" w:firstRowLastColumn="0" w:lastRowFirstColumn="0" w:lastRowLastColumn="0"/>
            </w:pPr>
            <w:r>
              <w:t>09/19</w:t>
            </w:r>
          </w:p>
        </w:tc>
        <w:tc>
          <w:tcPr>
            <w:cnfStyle w:val="000010000000" w:firstRow="0" w:lastRow="0" w:firstColumn="0" w:lastColumn="0" w:oddVBand="1" w:evenVBand="0" w:oddHBand="0" w:evenHBand="0" w:firstRowFirstColumn="0" w:firstRowLastColumn="0" w:lastRowFirstColumn="0" w:lastRowLastColumn="0"/>
            <w:tcW w:w="1260" w:type="dxa"/>
          </w:tcPr>
          <w:p w14:paraId="74BF0A6F" w14:textId="1FCBC7FA" w:rsidR="00386317" w:rsidRDefault="00525EDE" w:rsidP="00857C10">
            <w:pPr>
              <w:jc w:val="center"/>
            </w:pPr>
            <w:r>
              <w:t>09/19</w:t>
            </w:r>
          </w:p>
        </w:tc>
      </w:tr>
    </w:tbl>
    <w:p w14:paraId="01A5CB02" w14:textId="77777777" w:rsidR="00BB0E58" w:rsidRDefault="00BB0E58" w:rsidP="004955EE">
      <w:pPr>
        <w:pStyle w:val="Heading3"/>
        <w:sectPr w:rsidR="00BB0E58" w:rsidSect="00480C09">
          <w:type w:val="continuous"/>
          <w:pgSz w:w="12240" w:h="15840" w:code="1"/>
          <w:pgMar w:top="1440" w:right="1440" w:bottom="1440" w:left="1440" w:header="576" w:footer="288" w:gutter="0"/>
          <w:cols w:space="720"/>
          <w:titlePg/>
          <w:docGrid w:linePitch="360"/>
        </w:sectPr>
      </w:pPr>
    </w:p>
    <w:p w14:paraId="5069C39F" w14:textId="77777777" w:rsidR="00963062" w:rsidRPr="00B777AF" w:rsidRDefault="00963062" w:rsidP="004955EE">
      <w:pPr>
        <w:pStyle w:val="Heading3"/>
      </w:pPr>
      <w:r>
        <w:t xml:space="preserve">References </w:t>
      </w:r>
    </w:p>
    <w:p w14:paraId="048297F0" w14:textId="77777777" w:rsidR="0037682F" w:rsidRPr="0037682F" w:rsidRDefault="0037682F" w:rsidP="004955EE">
      <w:pPr>
        <w:pStyle w:val="ListParagraph"/>
        <w:numPr>
          <w:ilvl w:val="0"/>
          <w:numId w:val="8"/>
        </w:numPr>
        <w:spacing w:after="0" w:line="240" w:lineRule="auto"/>
        <w:ind w:left="360"/>
        <w:rPr>
          <w:rFonts w:ascii="Times New Roman" w:hAnsi="Times New Roman"/>
          <w:sz w:val="24"/>
          <w:szCs w:val="24"/>
          <w:lang w:val="en"/>
        </w:rPr>
      </w:pPr>
      <w:r w:rsidRPr="0037682F">
        <w:rPr>
          <w:rFonts w:ascii="Times New Roman" w:hAnsi="Times New Roman"/>
          <w:sz w:val="24"/>
          <w:szCs w:val="24"/>
        </w:rPr>
        <w:t xml:space="preserve">Winters JC, Dmochowski RR, Goldman HB, et al. Adult urodynamics: American Urological Association (AUA)/Society of Urodynamics, Female Pelvic Medicine &amp; Urogenital </w:t>
      </w:r>
      <w:r w:rsidRPr="0037682F">
        <w:rPr>
          <w:rFonts w:ascii="Times New Roman" w:hAnsi="Times New Roman"/>
          <w:sz w:val="24"/>
          <w:szCs w:val="24"/>
        </w:rPr>
        <w:lastRenderedPageBreak/>
        <w:t xml:space="preserve">Reconstruction (SUFU) guideline. Linthicum (MD): American Urological Association (AUA); 2012. </w:t>
      </w:r>
    </w:p>
    <w:p w14:paraId="210B83B8" w14:textId="77777777" w:rsidR="0037682F" w:rsidRPr="0037682F" w:rsidRDefault="0037682F" w:rsidP="004955EE">
      <w:pPr>
        <w:pStyle w:val="ListParagraph"/>
        <w:numPr>
          <w:ilvl w:val="0"/>
          <w:numId w:val="8"/>
        </w:numPr>
        <w:spacing w:after="0" w:line="240" w:lineRule="auto"/>
        <w:ind w:left="360"/>
        <w:rPr>
          <w:rFonts w:ascii="Times New Roman" w:hAnsi="Times New Roman"/>
          <w:sz w:val="24"/>
          <w:szCs w:val="24"/>
          <w:lang w:val="en"/>
        </w:rPr>
      </w:pPr>
      <w:r w:rsidRPr="0037682F">
        <w:rPr>
          <w:rFonts w:ascii="Times New Roman" w:hAnsi="Times New Roman"/>
          <w:sz w:val="24"/>
          <w:szCs w:val="24"/>
          <w:lang w:val="en"/>
        </w:rPr>
        <w:t>Shamliyan T, Wyman J, Kane RL. Nonsurgical treatments for urinary incontinence in adult women: diagnosis and comparative effectiveness. Comparative Effectiveness Review No. 36. Prepared by the University of Minnesota Evidence-based Practice Center under Contract No. HHSA 290-2007-10064-I. AHRQ Publication No. 11(12)-EHC074-EF. Rockville, MD. Agency for Healthcare Research and Quality; April 2012.</w:t>
      </w:r>
    </w:p>
    <w:p w14:paraId="51C8DFCB" w14:textId="1AB7A42A" w:rsidR="0037682F" w:rsidRPr="0037682F" w:rsidRDefault="0037682F" w:rsidP="004955EE">
      <w:pPr>
        <w:pStyle w:val="ListParagraph"/>
        <w:numPr>
          <w:ilvl w:val="0"/>
          <w:numId w:val="8"/>
        </w:numPr>
        <w:shd w:val="clear" w:color="auto" w:fill="FFFFFF"/>
        <w:spacing w:after="0" w:line="240" w:lineRule="auto"/>
        <w:ind w:left="360"/>
        <w:rPr>
          <w:rFonts w:ascii="Times New Roman" w:hAnsi="Times New Roman"/>
          <w:sz w:val="24"/>
          <w:szCs w:val="24"/>
        </w:rPr>
      </w:pPr>
      <w:r w:rsidRPr="0037682F">
        <w:rPr>
          <w:rFonts w:ascii="Times New Roman" w:hAnsi="Times New Roman"/>
          <w:sz w:val="24"/>
          <w:szCs w:val="24"/>
          <w:lang w:val="en"/>
        </w:rPr>
        <w:t xml:space="preserve">Holroyd-Leduc JM, Straus SE. Management of urinary incontinence in women: scientific review. </w:t>
      </w:r>
      <w:r w:rsidRPr="00BC2019">
        <w:rPr>
          <w:rFonts w:ascii="Times New Roman" w:hAnsi="Times New Roman"/>
          <w:sz w:val="24"/>
          <w:szCs w:val="24"/>
          <w:lang w:val="en"/>
        </w:rPr>
        <w:t>JAMA</w:t>
      </w:r>
      <w:r w:rsidRPr="0037682F">
        <w:rPr>
          <w:rFonts w:ascii="Times New Roman" w:hAnsi="Times New Roman"/>
          <w:sz w:val="24"/>
          <w:szCs w:val="24"/>
          <w:lang w:val="en"/>
        </w:rPr>
        <w:t xml:space="preserve">. 2004;291(8):986-995. </w:t>
      </w:r>
      <w:r w:rsidRPr="0037682F">
        <w:rPr>
          <w:rFonts w:ascii="Times New Roman" w:hAnsi="Times New Roman"/>
          <w:sz w:val="24"/>
          <w:szCs w:val="24"/>
        </w:rPr>
        <w:object w:dxaOrig="225" w:dyaOrig="225" w14:anchorId="027997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14" o:title=""/>
          </v:shape>
          <w:control r:id="rId15" w:name="DefaultOcxName" w:shapeid="_x0000_i1030"/>
        </w:object>
      </w:r>
      <w:r w:rsidRPr="0037682F">
        <w:rPr>
          <w:rFonts w:ascii="Times New Roman" w:hAnsi="Times New Roman"/>
          <w:sz w:val="24"/>
          <w:szCs w:val="24"/>
        </w:rPr>
        <w:object w:dxaOrig="225" w:dyaOrig="225" w14:anchorId="0DBF9857">
          <v:shape id="_x0000_i1033" type="#_x0000_t75" style="width:1in;height:18pt" o:ole="">
            <v:imagedata r:id="rId16" o:title=""/>
          </v:shape>
          <w:control r:id="rId17" w:name="DefaultOcxName1" w:shapeid="_x0000_i1033"/>
        </w:object>
      </w:r>
    </w:p>
    <w:p w14:paraId="223E4032" w14:textId="29F4BDF6" w:rsidR="0037682F" w:rsidRPr="004955EE" w:rsidRDefault="0037682F" w:rsidP="00386317">
      <w:pPr>
        <w:pStyle w:val="ListParagraph"/>
        <w:numPr>
          <w:ilvl w:val="0"/>
          <w:numId w:val="8"/>
        </w:numPr>
        <w:spacing w:after="0" w:line="240" w:lineRule="auto"/>
        <w:ind w:left="360"/>
        <w:rPr>
          <w:rFonts w:ascii="Times New Roman" w:hAnsi="Times New Roman"/>
          <w:b/>
          <w:sz w:val="24"/>
          <w:szCs w:val="24"/>
        </w:rPr>
      </w:pPr>
      <w:r w:rsidRPr="0037682F">
        <w:rPr>
          <w:rFonts w:ascii="Times New Roman" w:hAnsi="Times New Roman"/>
          <w:sz w:val="24"/>
          <w:szCs w:val="24"/>
          <w:lang w:val="en"/>
        </w:rPr>
        <w:t xml:space="preserve">Dumoulin C, </w:t>
      </w:r>
      <w:r w:rsidR="00386317">
        <w:rPr>
          <w:rFonts w:ascii="Times New Roman" w:hAnsi="Times New Roman"/>
          <w:sz w:val="24"/>
          <w:szCs w:val="24"/>
          <w:lang w:val="en"/>
        </w:rPr>
        <w:t xml:space="preserve">Cacciari LP, </w:t>
      </w:r>
      <w:hyperlink r:id="rId18" w:history="1">
        <w:r w:rsidRPr="004955EE">
          <w:rPr>
            <w:rFonts w:ascii="Times New Roman" w:hAnsi="Times New Roman"/>
            <w:sz w:val="24"/>
            <w:szCs w:val="24"/>
          </w:rPr>
          <w:t>Hay-Smith J</w:t>
        </w:r>
      </w:hyperlink>
      <w:r w:rsidRPr="0037682F">
        <w:rPr>
          <w:rFonts w:ascii="Times New Roman" w:hAnsi="Times New Roman"/>
          <w:sz w:val="24"/>
          <w:szCs w:val="24"/>
        </w:rPr>
        <w:t xml:space="preserve">. </w:t>
      </w:r>
      <w:r w:rsidRPr="0037682F">
        <w:rPr>
          <w:rFonts w:ascii="Times New Roman" w:hAnsi="Times New Roman"/>
          <w:sz w:val="24"/>
          <w:szCs w:val="24"/>
          <w:lang w:val="en"/>
        </w:rPr>
        <w:t xml:space="preserve">Pelvic floor muscle training versus no treatment, or inactive control treatments, for urinary incontinence in women. </w:t>
      </w:r>
      <w:r w:rsidRPr="00BC2019">
        <w:rPr>
          <w:rFonts w:ascii="Times New Roman" w:hAnsi="Times New Roman"/>
          <w:sz w:val="24"/>
          <w:szCs w:val="24"/>
          <w:lang w:val="en"/>
        </w:rPr>
        <w:t>Cochrane Database Syst Rev</w:t>
      </w:r>
      <w:r w:rsidRPr="008761DF">
        <w:rPr>
          <w:rFonts w:ascii="Times New Roman" w:hAnsi="Times New Roman"/>
          <w:sz w:val="24"/>
          <w:szCs w:val="24"/>
          <w:lang w:val="en"/>
        </w:rPr>
        <w:t>.</w:t>
      </w:r>
      <w:r w:rsidRPr="0037682F">
        <w:rPr>
          <w:rFonts w:ascii="Times New Roman" w:hAnsi="Times New Roman"/>
          <w:sz w:val="24"/>
          <w:szCs w:val="24"/>
          <w:lang w:val="en"/>
        </w:rPr>
        <w:t xml:space="preserve"> </w:t>
      </w:r>
      <w:r w:rsidRPr="0037682F">
        <w:rPr>
          <w:rFonts w:ascii="Times New Roman" w:hAnsi="Times New Roman"/>
          <w:sz w:val="24"/>
          <w:szCs w:val="24"/>
        </w:rPr>
        <w:t>201</w:t>
      </w:r>
      <w:r w:rsidR="00386317">
        <w:rPr>
          <w:rFonts w:ascii="Times New Roman" w:hAnsi="Times New Roman"/>
          <w:sz w:val="24"/>
          <w:szCs w:val="24"/>
        </w:rPr>
        <w:t>8</w:t>
      </w:r>
      <w:r w:rsidRPr="0037682F">
        <w:rPr>
          <w:rFonts w:ascii="Times New Roman" w:hAnsi="Times New Roman"/>
          <w:sz w:val="24"/>
          <w:szCs w:val="24"/>
        </w:rPr>
        <w:t xml:space="preserve">; </w:t>
      </w:r>
      <w:r w:rsidR="00386317" w:rsidRPr="00386317">
        <w:rPr>
          <w:rFonts w:ascii="Times New Roman" w:hAnsi="Times New Roman"/>
          <w:sz w:val="24"/>
          <w:szCs w:val="24"/>
        </w:rPr>
        <w:t xml:space="preserve">Issue 10. Art. No.: CD005654. </w:t>
      </w:r>
      <w:r w:rsidRPr="0037682F">
        <w:rPr>
          <w:rFonts w:ascii="Times New Roman" w:hAnsi="Times New Roman"/>
          <w:sz w:val="24"/>
          <w:szCs w:val="24"/>
        </w:rPr>
        <w:t>(1):CD005654.</w:t>
      </w:r>
    </w:p>
    <w:p w14:paraId="493182A6" w14:textId="01643E67" w:rsidR="000E75D0" w:rsidRPr="0037682F" w:rsidRDefault="000E75D0" w:rsidP="004955EE">
      <w:pPr>
        <w:pStyle w:val="ListParagraph"/>
        <w:numPr>
          <w:ilvl w:val="0"/>
          <w:numId w:val="8"/>
        </w:numPr>
        <w:spacing w:after="0" w:line="240" w:lineRule="auto"/>
        <w:ind w:left="360"/>
        <w:rPr>
          <w:rFonts w:ascii="Times New Roman" w:hAnsi="Times New Roman"/>
          <w:b/>
          <w:sz w:val="24"/>
          <w:szCs w:val="24"/>
        </w:rPr>
      </w:pPr>
      <w:r>
        <w:rPr>
          <w:rFonts w:ascii="Times New Roman" w:hAnsi="Times New Roman"/>
          <w:sz w:val="24"/>
          <w:szCs w:val="24"/>
        </w:rPr>
        <w:t>Flesh G. Urodynamic evaluation of women with incontinence. In: UpToDate, Brubaker L, Eckler K (Ed), UpToDate, Waltham, MA. Accessed</w:t>
      </w:r>
      <w:r w:rsidR="00FF1DEF">
        <w:rPr>
          <w:rFonts w:ascii="Times New Roman" w:hAnsi="Times New Roman"/>
          <w:sz w:val="24"/>
          <w:szCs w:val="24"/>
        </w:rPr>
        <w:t xml:space="preserve"> </w:t>
      </w:r>
      <w:r w:rsidR="001717B0">
        <w:rPr>
          <w:rFonts w:ascii="Times New Roman" w:hAnsi="Times New Roman"/>
          <w:sz w:val="24"/>
          <w:szCs w:val="24"/>
        </w:rPr>
        <w:t>09/09/19.</w:t>
      </w:r>
    </w:p>
    <w:p w14:paraId="1458BFD3" w14:textId="463EC5C6" w:rsidR="00685B83" w:rsidRPr="0037682F" w:rsidRDefault="001717B0" w:rsidP="004955EE">
      <w:pPr>
        <w:pStyle w:val="ListParagraph"/>
        <w:numPr>
          <w:ilvl w:val="0"/>
          <w:numId w:val="8"/>
        </w:numPr>
        <w:shd w:val="clear" w:color="auto" w:fill="FFFFFF"/>
        <w:spacing w:after="0" w:line="240" w:lineRule="auto"/>
        <w:ind w:left="360"/>
        <w:rPr>
          <w:rFonts w:ascii="Times New Roman" w:hAnsi="Times New Roman"/>
          <w:sz w:val="24"/>
          <w:szCs w:val="24"/>
        </w:rPr>
      </w:pPr>
      <w:r w:rsidRPr="001717B0">
        <w:rPr>
          <w:rFonts w:ascii="Times New Roman" w:hAnsi="Times New Roman"/>
          <w:sz w:val="24"/>
          <w:szCs w:val="24"/>
          <w:lang w:val="en"/>
        </w:rPr>
        <w:t xml:space="preserve">Anderson CA, Omar MI, Campbell SE, Hunter KF, Cody JD, Glazener </w:t>
      </w:r>
      <w:bookmarkStart w:id="2" w:name="_GoBack"/>
      <w:bookmarkEnd w:id="2"/>
      <w:r w:rsidRPr="001717B0">
        <w:rPr>
          <w:rFonts w:ascii="Times New Roman" w:hAnsi="Times New Roman"/>
          <w:sz w:val="24"/>
          <w:szCs w:val="24"/>
          <w:lang w:val="en"/>
        </w:rPr>
        <w:t>CMA. Conservative management for postprostatectomy urinary incontinence. Cochrane Database of Systematic Reviews 2015, Issue 1. Art. No.: CD001843. DOI: 10.1002/14651858.CD001843.pub5.</w:t>
      </w:r>
      <w:r w:rsidRPr="001717B0" w:rsidDel="001717B0">
        <w:rPr>
          <w:rFonts w:ascii="Times New Roman" w:hAnsi="Times New Roman"/>
          <w:sz w:val="24"/>
          <w:szCs w:val="24"/>
          <w:lang w:val="en"/>
        </w:rPr>
        <w:t xml:space="preserve"> </w:t>
      </w:r>
      <w:r w:rsidR="00685B83">
        <w:rPr>
          <w:rFonts w:ascii="Times New Roman" w:hAnsi="Times New Roman"/>
          <w:sz w:val="24"/>
          <w:szCs w:val="24"/>
          <w:lang w:val="en"/>
        </w:rPr>
        <w:t xml:space="preserve">Nepple KG, Cooper CS. Evaluation and diagnosis of bladder dysfunction in children. In: UpToDate, Baskin LS, Kim MS (Ed), UpToDate, Waltham, MA. Accessed </w:t>
      </w:r>
      <w:r w:rsidR="004A74D6">
        <w:rPr>
          <w:rFonts w:ascii="Times New Roman" w:hAnsi="Times New Roman"/>
          <w:sz w:val="24"/>
          <w:szCs w:val="24"/>
          <w:lang w:val="en"/>
        </w:rPr>
        <w:t>09/09/2019.</w:t>
      </w:r>
      <w:r w:rsidR="00DE7B2A">
        <w:rPr>
          <w:rFonts w:ascii="Times New Roman" w:hAnsi="Times New Roman"/>
          <w:sz w:val="24"/>
          <w:szCs w:val="24"/>
          <w:lang w:val="en"/>
        </w:rPr>
        <w:t xml:space="preserve"> </w:t>
      </w:r>
    </w:p>
    <w:p w14:paraId="0D8A0A5B" w14:textId="5B88285D" w:rsidR="00D211F2" w:rsidRPr="00972CD7" w:rsidRDefault="004A74D6" w:rsidP="0071037F">
      <w:pPr>
        <w:pStyle w:val="ListParagraph"/>
        <w:numPr>
          <w:ilvl w:val="0"/>
          <w:numId w:val="8"/>
        </w:numPr>
        <w:tabs>
          <w:tab w:val="left" w:pos="360"/>
        </w:tabs>
        <w:spacing w:after="0" w:line="240" w:lineRule="auto"/>
        <w:ind w:left="360"/>
        <w:rPr>
          <w:rFonts w:ascii="Times New Roman" w:hAnsi="Times New Roman"/>
          <w:sz w:val="24"/>
          <w:szCs w:val="24"/>
          <w:lang w:val="en"/>
        </w:rPr>
      </w:pPr>
      <w:r w:rsidRPr="004A74D6">
        <w:rPr>
          <w:rFonts w:ascii="Times New Roman" w:hAnsi="Times New Roman"/>
          <w:sz w:val="24"/>
          <w:szCs w:val="24"/>
          <w:lang w:val="en"/>
        </w:rPr>
        <w:t>Art. No.: CD004462.</w:t>
      </w:r>
      <w:r w:rsidRPr="004A74D6" w:rsidDel="004A74D6">
        <w:rPr>
          <w:rFonts w:ascii="Times New Roman" w:hAnsi="Times New Roman"/>
          <w:sz w:val="24"/>
          <w:szCs w:val="24"/>
          <w:lang w:val="en"/>
        </w:rPr>
        <w:t xml:space="preserve"> </w:t>
      </w:r>
      <w:r w:rsidR="00D211F2" w:rsidRPr="00972CD7">
        <w:rPr>
          <w:rFonts w:ascii="Times New Roman" w:hAnsi="Times New Roman"/>
          <w:sz w:val="24"/>
          <w:szCs w:val="24"/>
          <w:lang w:val="en"/>
        </w:rPr>
        <w:t xml:space="preserve">Pang </w:t>
      </w:r>
      <w:r w:rsidR="008761DF">
        <w:rPr>
          <w:rFonts w:ascii="Times New Roman" w:hAnsi="Times New Roman"/>
          <w:sz w:val="24"/>
          <w:szCs w:val="24"/>
          <w:lang w:val="en"/>
        </w:rPr>
        <w:t xml:space="preserve">H, </w:t>
      </w:r>
      <w:r w:rsidR="0071037F">
        <w:rPr>
          <w:rFonts w:ascii="Times New Roman" w:hAnsi="Times New Roman"/>
          <w:sz w:val="24"/>
          <w:szCs w:val="24"/>
          <w:lang w:val="en"/>
        </w:rPr>
        <w:t>Dang X, Yao Z et al.</w:t>
      </w:r>
      <w:r w:rsidR="0071037F" w:rsidRPr="0071037F">
        <w:t xml:space="preserve"> </w:t>
      </w:r>
      <w:r w:rsidR="0071037F" w:rsidRPr="0071037F">
        <w:rPr>
          <w:rFonts w:ascii="Times New Roman" w:hAnsi="Times New Roman"/>
          <w:sz w:val="24"/>
          <w:szCs w:val="24"/>
          <w:lang w:val="en"/>
        </w:rPr>
        <w:t>Bilateral spontaneous urinary extravasation shown by computed tomography urography in a patient with benign prostatic hyperplasia</w:t>
      </w:r>
      <w:r w:rsidR="0071037F">
        <w:rPr>
          <w:rFonts w:ascii="Times New Roman" w:hAnsi="Times New Roman"/>
          <w:sz w:val="24"/>
          <w:szCs w:val="24"/>
          <w:lang w:val="en"/>
        </w:rPr>
        <w:t xml:space="preserve">  </w:t>
      </w:r>
      <w:hyperlink r:id="rId19" w:tooltip="Radiology case reports." w:history="1">
        <w:r w:rsidR="00D211F2" w:rsidRPr="00972CD7">
          <w:rPr>
            <w:rFonts w:ascii="Times New Roman" w:hAnsi="Times New Roman"/>
            <w:sz w:val="24"/>
            <w:szCs w:val="24"/>
            <w:lang w:val="en"/>
          </w:rPr>
          <w:t>Radiol Case Rep.</w:t>
        </w:r>
      </w:hyperlink>
      <w:r w:rsidR="00D211F2" w:rsidRPr="00972CD7">
        <w:rPr>
          <w:rFonts w:ascii="Times New Roman" w:hAnsi="Times New Roman"/>
          <w:sz w:val="24"/>
          <w:szCs w:val="24"/>
          <w:lang w:val="en"/>
        </w:rPr>
        <w:t> 2015 Sep 15;10(4):53-5. doi: 10.1016/j.radcr.2015.07.001. eCollection 2015.</w:t>
      </w:r>
    </w:p>
    <w:p w14:paraId="03BBED99" w14:textId="77777777" w:rsidR="00D211F2" w:rsidRPr="00972CD7" w:rsidRDefault="00D211F2" w:rsidP="0071037F">
      <w:pPr>
        <w:pStyle w:val="ListParagraph"/>
        <w:numPr>
          <w:ilvl w:val="0"/>
          <w:numId w:val="8"/>
        </w:numPr>
        <w:tabs>
          <w:tab w:val="left" w:pos="360"/>
        </w:tabs>
        <w:spacing w:after="0" w:line="240" w:lineRule="auto"/>
        <w:ind w:left="360"/>
        <w:rPr>
          <w:rFonts w:ascii="Times New Roman" w:hAnsi="Times New Roman"/>
          <w:sz w:val="24"/>
          <w:szCs w:val="24"/>
          <w:lang w:val="en"/>
        </w:rPr>
      </w:pPr>
      <w:r w:rsidRPr="00972CD7">
        <w:rPr>
          <w:rFonts w:ascii="Times New Roman" w:hAnsi="Times New Roman"/>
          <w:sz w:val="24"/>
          <w:szCs w:val="24"/>
          <w:lang w:val="en"/>
        </w:rPr>
        <w:t>Deng</w:t>
      </w:r>
      <w:r w:rsidR="0071037F">
        <w:rPr>
          <w:rFonts w:ascii="Times New Roman" w:hAnsi="Times New Roman"/>
          <w:sz w:val="24"/>
          <w:szCs w:val="24"/>
          <w:lang w:val="en"/>
        </w:rPr>
        <w:t xml:space="preserve"> F, Liu X, Li Y, et al.  </w:t>
      </w:r>
      <w:r w:rsidR="0071037F" w:rsidRPr="0071037F">
        <w:rPr>
          <w:rFonts w:ascii="Times New Roman" w:hAnsi="Times New Roman"/>
          <w:sz w:val="24"/>
          <w:szCs w:val="24"/>
          <w:lang w:val="en"/>
        </w:rPr>
        <w:t>Ureteral obstruction by prostate cancer leads to spontaneous ureteric rupture: a case report</w:t>
      </w:r>
      <w:r w:rsidR="0071037F">
        <w:rPr>
          <w:rFonts w:ascii="Times New Roman" w:hAnsi="Times New Roman"/>
          <w:sz w:val="24"/>
          <w:szCs w:val="24"/>
          <w:lang w:val="en"/>
        </w:rPr>
        <w:t xml:space="preserve">.  </w:t>
      </w:r>
      <w:r w:rsidRPr="00972CD7">
        <w:rPr>
          <w:rFonts w:ascii="Times New Roman" w:hAnsi="Times New Roman"/>
          <w:sz w:val="24"/>
          <w:szCs w:val="24"/>
          <w:lang w:val="en"/>
        </w:rPr>
        <w:t xml:space="preserve"> Int J Clin Exp Med. 2015; 8(9): 16842–16844.</w:t>
      </w:r>
    </w:p>
    <w:p w14:paraId="5B96C452" w14:textId="77777777" w:rsidR="00D211F2" w:rsidRPr="00972CD7" w:rsidRDefault="00D211F2" w:rsidP="0071037F">
      <w:pPr>
        <w:pStyle w:val="ListParagraph"/>
        <w:numPr>
          <w:ilvl w:val="0"/>
          <w:numId w:val="8"/>
        </w:numPr>
        <w:tabs>
          <w:tab w:val="left" w:pos="360"/>
        </w:tabs>
        <w:spacing w:after="0" w:line="240" w:lineRule="auto"/>
        <w:ind w:left="360"/>
        <w:rPr>
          <w:rFonts w:ascii="Times New Roman" w:hAnsi="Times New Roman"/>
          <w:sz w:val="24"/>
          <w:szCs w:val="24"/>
          <w:lang w:val="en"/>
        </w:rPr>
      </w:pPr>
      <w:r w:rsidRPr="00972CD7">
        <w:rPr>
          <w:rFonts w:ascii="Times New Roman" w:hAnsi="Times New Roman"/>
          <w:sz w:val="24"/>
          <w:szCs w:val="24"/>
          <w:lang w:val="en"/>
        </w:rPr>
        <w:t xml:space="preserve">Sarmah </w:t>
      </w:r>
      <w:r w:rsidR="0071037F">
        <w:rPr>
          <w:rFonts w:ascii="Times New Roman" w:hAnsi="Times New Roman"/>
          <w:sz w:val="24"/>
          <w:szCs w:val="24"/>
          <w:lang w:val="en"/>
        </w:rPr>
        <w:t xml:space="preserve">PB, Noah A, Kelly BD, Ryan PG.  </w:t>
      </w:r>
      <w:r w:rsidR="0071037F" w:rsidRPr="0071037F">
        <w:rPr>
          <w:rFonts w:ascii="Times New Roman" w:hAnsi="Times New Roman"/>
          <w:sz w:val="24"/>
          <w:szCs w:val="24"/>
          <w:lang w:val="en"/>
        </w:rPr>
        <w:t>Asymptomatic ureteral rupture secondary to chronic urinary retention from massive prostatic enlargement</w:t>
      </w:r>
      <w:r w:rsidR="0071037F">
        <w:rPr>
          <w:rFonts w:ascii="Times New Roman" w:hAnsi="Times New Roman"/>
          <w:sz w:val="24"/>
          <w:szCs w:val="24"/>
          <w:lang w:val="en"/>
        </w:rPr>
        <w:t xml:space="preserve">.  </w:t>
      </w:r>
      <w:hyperlink r:id="rId20" w:tooltip="Journal of surgical case reports." w:history="1">
        <w:r w:rsidRPr="00972CD7">
          <w:rPr>
            <w:rFonts w:ascii="Times New Roman" w:hAnsi="Times New Roman"/>
            <w:sz w:val="24"/>
            <w:szCs w:val="24"/>
            <w:lang w:val="en"/>
          </w:rPr>
          <w:t>J Surg Case Rep.</w:t>
        </w:r>
      </w:hyperlink>
      <w:r w:rsidRPr="00972CD7">
        <w:rPr>
          <w:rFonts w:ascii="Times New Roman" w:hAnsi="Times New Roman"/>
          <w:sz w:val="24"/>
          <w:szCs w:val="24"/>
          <w:lang w:val="en"/>
        </w:rPr>
        <w:t> 2015 Oct 31;2015(11). pii: rjv135. doi: 10.1093/jscr/rjv135.</w:t>
      </w:r>
    </w:p>
    <w:p w14:paraId="41F67167" w14:textId="77777777" w:rsidR="00D211F2" w:rsidRPr="00BC2019" w:rsidRDefault="00D211F2" w:rsidP="0071037F">
      <w:pPr>
        <w:pStyle w:val="ListParagraph"/>
        <w:numPr>
          <w:ilvl w:val="0"/>
          <w:numId w:val="8"/>
        </w:numPr>
        <w:spacing w:after="0" w:line="240" w:lineRule="auto"/>
        <w:ind w:left="360"/>
        <w:rPr>
          <w:rFonts w:ascii="Times New Roman" w:hAnsi="Times New Roman"/>
          <w:b/>
          <w:sz w:val="24"/>
          <w:szCs w:val="24"/>
        </w:rPr>
      </w:pPr>
      <w:r w:rsidRPr="00D211F2">
        <w:rPr>
          <w:rFonts w:ascii="Times New Roman" w:hAnsi="Times New Roman"/>
          <w:sz w:val="24"/>
          <w:szCs w:val="24"/>
          <w:lang w:val="en"/>
        </w:rPr>
        <w:t>Mori</w:t>
      </w:r>
      <w:r w:rsidRPr="00D211F2">
        <w:rPr>
          <w:rFonts w:ascii="Times New Roman" w:hAnsi="Times New Roman"/>
          <w:sz w:val="24"/>
          <w:szCs w:val="24"/>
        </w:rPr>
        <w:t xml:space="preserve"> </w:t>
      </w:r>
      <w:r w:rsidR="0071037F">
        <w:rPr>
          <w:rFonts w:ascii="Times New Roman" w:hAnsi="Times New Roman"/>
          <w:sz w:val="24"/>
          <w:szCs w:val="24"/>
        </w:rPr>
        <w:t xml:space="preserve">K, Koga S, Noguchi M, et al.  </w:t>
      </w:r>
      <w:r w:rsidR="0071037F" w:rsidRPr="0071037F">
        <w:rPr>
          <w:rFonts w:ascii="Times New Roman" w:hAnsi="Times New Roman"/>
          <w:sz w:val="24"/>
          <w:szCs w:val="24"/>
        </w:rPr>
        <w:t>Spontaneous peripelvic extravasation of urine due to an inflammatory aneurysm of the abdominal aorta.</w:t>
      </w:r>
      <w:r w:rsidR="00EA46A4">
        <w:rPr>
          <w:rFonts w:ascii="Times New Roman" w:hAnsi="Times New Roman"/>
          <w:sz w:val="24"/>
          <w:szCs w:val="24"/>
        </w:rPr>
        <w:t xml:space="preserve"> </w:t>
      </w:r>
      <w:r w:rsidRPr="00D211F2">
        <w:rPr>
          <w:rFonts w:ascii="Times New Roman" w:hAnsi="Times New Roman"/>
          <w:sz w:val="24"/>
          <w:szCs w:val="24"/>
        </w:rPr>
        <w:t>International Journal of Urology (2004) 11, 419–420</w:t>
      </w:r>
    </w:p>
    <w:p w14:paraId="266960AD" w14:textId="77777777" w:rsidR="00EA46A4" w:rsidRDefault="00EA46A4" w:rsidP="00EA46A4">
      <w:pPr>
        <w:pStyle w:val="ListParagraph"/>
        <w:numPr>
          <w:ilvl w:val="0"/>
          <w:numId w:val="8"/>
        </w:numPr>
        <w:tabs>
          <w:tab w:val="left" w:pos="540"/>
        </w:tabs>
        <w:spacing w:after="0" w:line="240" w:lineRule="auto"/>
        <w:ind w:left="360"/>
        <w:rPr>
          <w:rFonts w:ascii="Times New Roman" w:hAnsi="Times New Roman"/>
          <w:sz w:val="24"/>
          <w:szCs w:val="24"/>
        </w:rPr>
      </w:pPr>
      <w:r w:rsidRPr="00BC2019">
        <w:rPr>
          <w:rFonts w:ascii="Times New Roman" w:hAnsi="Times New Roman"/>
          <w:sz w:val="24"/>
          <w:szCs w:val="24"/>
        </w:rPr>
        <w:t>Schurch B, Iacovelli V, Averbeck MA, et al</w:t>
      </w:r>
      <w:r>
        <w:rPr>
          <w:rFonts w:ascii="Times New Roman" w:hAnsi="Times New Roman"/>
          <w:b/>
          <w:sz w:val="24"/>
          <w:szCs w:val="24"/>
        </w:rPr>
        <w:t xml:space="preserve">.  </w:t>
      </w:r>
      <w:r w:rsidRPr="00BC2019">
        <w:rPr>
          <w:rFonts w:ascii="Times New Roman" w:hAnsi="Times New Roman"/>
          <w:sz w:val="24"/>
          <w:szCs w:val="24"/>
        </w:rPr>
        <w:t>Urodynamics in patients with spinal cord injury: A clinical review and best practice paper by a working group of The International Continence Society Urodynamics Committee.</w:t>
      </w:r>
      <w:r>
        <w:rPr>
          <w:rFonts w:ascii="Times New Roman" w:hAnsi="Times New Roman"/>
          <w:sz w:val="24"/>
          <w:szCs w:val="24"/>
        </w:rPr>
        <w:t xml:space="preserve">  </w:t>
      </w:r>
      <w:r w:rsidRPr="00EA46A4">
        <w:rPr>
          <w:rFonts w:ascii="Times New Roman" w:hAnsi="Times New Roman"/>
          <w:sz w:val="24"/>
          <w:szCs w:val="24"/>
        </w:rPr>
        <w:t>Neurourol Urodyn. 2017 Aug 1. doi: 10.1002/nau.23369</w:t>
      </w:r>
    </w:p>
    <w:p w14:paraId="33AE81AC" w14:textId="77777777" w:rsidR="007E3539" w:rsidRDefault="007E3539" w:rsidP="007E3539">
      <w:pPr>
        <w:pStyle w:val="ListParagraph"/>
        <w:numPr>
          <w:ilvl w:val="0"/>
          <w:numId w:val="8"/>
        </w:numPr>
        <w:tabs>
          <w:tab w:val="left" w:pos="540"/>
        </w:tabs>
        <w:spacing w:after="0" w:line="240" w:lineRule="auto"/>
        <w:ind w:left="360"/>
        <w:rPr>
          <w:rFonts w:ascii="Times New Roman" w:hAnsi="Times New Roman"/>
          <w:sz w:val="24"/>
          <w:szCs w:val="24"/>
        </w:rPr>
      </w:pPr>
      <w:r w:rsidRPr="007E3539">
        <w:rPr>
          <w:rFonts w:ascii="Times New Roman" w:hAnsi="Times New Roman"/>
          <w:sz w:val="24"/>
          <w:szCs w:val="24"/>
        </w:rPr>
        <w:t>Clement  KD, Lapitan  MCM, Omar  MI, Glazener  CMA. Urodynamic studies for management of urinary incontinence in children and adults. Cochrane Database of Systematic Reviews 2013, Issue 10. Art. No.: CD003195.</w:t>
      </w:r>
    </w:p>
    <w:p w14:paraId="48B17F7F" w14:textId="588E96A0" w:rsidR="00581FA1" w:rsidRDefault="00581FA1" w:rsidP="00581FA1">
      <w:pPr>
        <w:pStyle w:val="ListParagraph"/>
        <w:numPr>
          <w:ilvl w:val="0"/>
          <w:numId w:val="8"/>
        </w:numPr>
        <w:tabs>
          <w:tab w:val="left" w:pos="540"/>
        </w:tabs>
        <w:spacing w:after="0" w:line="240" w:lineRule="auto"/>
        <w:ind w:left="360"/>
        <w:rPr>
          <w:rFonts w:ascii="Times New Roman" w:hAnsi="Times New Roman"/>
          <w:sz w:val="24"/>
          <w:szCs w:val="24"/>
        </w:rPr>
      </w:pPr>
      <w:r>
        <w:rPr>
          <w:rFonts w:ascii="Times New Roman" w:hAnsi="Times New Roman"/>
          <w:sz w:val="24"/>
          <w:szCs w:val="24"/>
        </w:rPr>
        <w:t xml:space="preserve">Lightner DJ, Gomelsky A, Souter L, Vasaveda SP. </w:t>
      </w:r>
      <w:r w:rsidRPr="00581FA1">
        <w:rPr>
          <w:rFonts w:ascii="Times New Roman" w:hAnsi="Times New Roman"/>
          <w:sz w:val="24"/>
          <w:szCs w:val="24"/>
        </w:rPr>
        <w:t>Diagnosis and Treatment of Overactive Bladder (Non-Neurogenic) in Adults: AUA/SUFU Guideline Amendment 2019.</w:t>
      </w:r>
      <w:r>
        <w:rPr>
          <w:rFonts w:ascii="Times New Roman" w:hAnsi="Times New Roman"/>
          <w:sz w:val="24"/>
          <w:szCs w:val="24"/>
        </w:rPr>
        <w:t xml:space="preserve"> </w:t>
      </w:r>
      <w:r w:rsidRPr="00581FA1">
        <w:rPr>
          <w:rFonts w:ascii="Times New Roman" w:hAnsi="Times New Roman"/>
          <w:sz w:val="24"/>
          <w:szCs w:val="24"/>
        </w:rPr>
        <w:t>J Urol. 2019 Sep;202(3):558-563.</w:t>
      </w:r>
    </w:p>
    <w:p w14:paraId="71356179" w14:textId="5E775801" w:rsidR="006D1CB4" w:rsidRDefault="006D1CB4" w:rsidP="006D1CB4">
      <w:pPr>
        <w:pStyle w:val="ListParagraph"/>
        <w:numPr>
          <w:ilvl w:val="0"/>
          <w:numId w:val="8"/>
        </w:numPr>
        <w:tabs>
          <w:tab w:val="left" w:pos="540"/>
        </w:tabs>
        <w:spacing w:after="0" w:line="240" w:lineRule="auto"/>
        <w:ind w:left="360"/>
        <w:rPr>
          <w:rFonts w:ascii="Times New Roman" w:hAnsi="Times New Roman"/>
          <w:sz w:val="24"/>
          <w:szCs w:val="24"/>
        </w:rPr>
      </w:pPr>
      <w:r w:rsidRPr="006D1CB4">
        <w:rPr>
          <w:rFonts w:ascii="Times New Roman" w:hAnsi="Times New Roman"/>
          <w:sz w:val="24"/>
          <w:szCs w:val="24"/>
        </w:rPr>
        <w:t>Goossens WJ, de Blaauw I, Wijnen MH, de Gier RP, Kortmann B, Feitz WF.</w:t>
      </w:r>
      <w:r>
        <w:rPr>
          <w:rFonts w:ascii="Times New Roman" w:hAnsi="Times New Roman"/>
          <w:sz w:val="24"/>
          <w:szCs w:val="24"/>
        </w:rPr>
        <w:t xml:space="preserve"> </w:t>
      </w:r>
      <w:r w:rsidRPr="006D1CB4">
        <w:rPr>
          <w:rFonts w:ascii="Times New Roman" w:hAnsi="Times New Roman"/>
          <w:sz w:val="24"/>
          <w:szCs w:val="24"/>
        </w:rPr>
        <w:t>Urological anomalies in anorectal malformations in The Netherlands: effects of screening all patients on long-term outcome.</w:t>
      </w:r>
      <w:r>
        <w:rPr>
          <w:rFonts w:ascii="Times New Roman" w:hAnsi="Times New Roman"/>
          <w:sz w:val="24"/>
          <w:szCs w:val="24"/>
        </w:rPr>
        <w:t xml:space="preserve"> </w:t>
      </w:r>
      <w:r w:rsidRPr="006D1CB4">
        <w:rPr>
          <w:rFonts w:ascii="Times New Roman" w:hAnsi="Times New Roman"/>
          <w:sz w:val="24"/>
          <w:szCs w:val="24"/>
        </w:rPr>
        <w:t>Pediatr Surg Int. 2011 Oct;27(10):1091-7. doi: 10.1007/s00383-011-2959-4.</w:t>
      </w:r>
    </w:p>
    <w:p w14:paraId="5C750713" w14:textId="77777777" w:rsidR="005038F5" w:rsidRPr="00BC2019" w:rsidRDefault="005038F5" w:rsidP="00972CD7">
      <w:pPr>
        <w:rPr>
          <w:rFonts w:eastAsiaTheme="minorHAnsi"/>
          <w:bCs/>
          <w:u w:val="single"/>
        </w:rPr>
      </w:pPr>
      <w:bookmarkStart w:id="3" w:name="Important_Reminder"/>
    </w:p>
    <w:p w14:paraId="109D38E0" w14:textId="77777777" w:rsidR="005038F5" w:rsidRPr="00146C6E" w:rsidRDefault="005038F5" w:rsidP="005038F5">
      <w:pPr>
        <w:rPr>
          <w:b/>
          <w:u w:val="single"/>
        </w:rPr>
      </w:pPr>
      <w:r w:rsidRPr="00146C6E">
        <w:rPr>
          <w:b/>
          <w:bCs/>
          <w:u w:val="single"/>
        </w:rPr>
        <w:lastRenderedPageBreak/>
        <w:t>Important Reminder</w:t>
      </w:r>
    </w:p>
    <w:p w14:paraId="7A9B9C19" w14:textId="77777777" w:rsidR="005038F5" w:rsidRPr="00146C6E" w:rsidRDefault="005038F5" w:rsidP="005038F5">
      <w:r w:rsidRPr="00146C6E">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146C6E">
        <w:rPr>
          <w:iCs/>
        </w:rPr>
        <w:t>The Health Plan</w:t>
      </w:r>
      <w:r w:rsidRPr="00146C6E">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3EC06A29" w14:textId="77777777" w:rsidR="005038F5" w:rsidRPr="00146C6E" w:rsidRDefault="005038F5" w:rsidP="005038F5"/>
    <w:p w14:paraId="76B58321" w14:textId="77777777" w:rsidR="005038F5" w:rsidRPr="00146C6E" w:rsidRDefault="005038F5" w:rsidP="005038F5">
      <w:r w:rsidRPr="00146C6E">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2C7479D5" w14:textId="77777777" w:rsidR="005038F5" w:rsidRPr="00146C6E" w:rsidRDefault="005038F5" w:rsidP="005038F5"/>
    <w:p w14:paraId="0B72A923" w14:textId="77777777" w:rsidR="005038F5" w:rsidRPr="00146C6E" w:rsidRDefault="005038F5" w:rsidP="005038F5">
      <w:pPr>
        <w:rPr>
          <w:color w:val="002868"/>
        </w:rPr>
      </w:pPr>
      <w:r w:rsidRPr="00146C6E">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48CF6580" w14:textId="77777777" w:rsidR="005038F5" w:rsidRPr="00146C6E" w:rsidRDefault="005038F5" w:rsidP="005038F5"/>
    <w:p w14:paraId="5775CBC5" w14:textId="77777777" w:rsidR="005038F5" w:rsidRPr="00146C6E" w:rsidRDefault="005038F5" w:rsidP="005038F5">
      <w:r w:rsidRPr="00146C6E">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5D173076" w14:textId="77777777" w:rsidR="005038F5" w:rsidRPr="00146C6E" w:rsidRDefault="005038F5" w:rsidP="005038F5"/>
    <w:p w14:paraId="5DAB0E49" w14:textId="77777777" w:rsidR="005038F5" w:rsidRPr="00146C6E" w:rsidRDefault="005038F5" w:rsidP="005038F5">
      <w:r w:rsidRPr="00146C6E">
        <w:t>Providers referred to in this clinical policy are independent contractors who exercise independent judgment and over whom the Health Plan has no control or right of control.  Providers are not agents or employees of the Health Plan.</w:t>
      </w:r>
    </w:p>
    <w:p w14:paraId="064FE42F" w14:textId="77777777" w:rsidR="005038F5" w:rsidRPr="00146C6E" w:rsidRDefault="005038F5" w:rsidP="005038F5"/>
    <w:p w14:paraId="41F19480" w14:textId="77777777" w:rsidR="005038F5" w:rsidRPr="00146C6E" w:rsidRDefault="005038F5" w:rsidP="005038F5">
      <w:r w:rsidRPr="00146C6E">
        <w:t xml:space="preserve">This clinical policy is the property of </w:t>
      </w:r>
      <w:r w:rsidRPr="00146C6E">
        <w:rPr>
          <w:iCs/>
        </w:rPr>
        <w:t>the Health Plan</w:t>
      </w:r>
      <w:r w:rsidRPr="00146C6E">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6BDAB988" w14:textId="77777777" w:rsidR="005038F5" w:rsidRPr="00146C6E" w:rsidRDefault="005038F5" w:rsidP="005038F5">
      <w:pPr>
        <w:autoSpaceDE w:val="0"/>
        <w:autoSpaceDN w:val="0"/>
        <w:adjustRightInd w:val="0"/>
        <w:rPr>
          <w:color w:val="000000"/>
        </w:rPr>
      </w:pPr>
    </w:p>
    <w:p w14:paraId="410C77BD" w14:textId="77777777" w:rsidR="005038F5" w:rsidRPr="00146C6E" w:rsidRDefault="005038F5" w:rsidP="005038F5">
      <w:pPr>
        <w:autoSpaceDE w:val="0"/>
        <w:autoSpaceDN w:val="0"/>
        <w:adjustRightInd w:val="0"/>
        <w:rPr>
          <w:color w:val="000000"/>
        </w:rPr>
      </w:pPr>
      <w:r w:rsidRPr="00146C6E">
        <w:rPr>
          <w:b/>
          <w:color w:val="000000"/>
        </w:rPr>
        <w:t>Note: For Medicaid members</w:t>
      </w:r>
      <w:r w:rsidRPr="00146C6E">
        <w:rPr>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165A65B4" w14:textId="77777777" w:rsidR="005038F5" w:rsidRPr="00146C6E" w:rsidRDefault="005038F5" w:rsidP="005038F5"/>
    <w:p w14:paraId="24FC6E47" w14:textId="77777777" w:rsidR="005038F5" w:rsidRPr="00146C6E" w:rsidRDefault="005038F5" w:rsidP="005038F5">
      <w:pPr>
        <w:autoSpaceDE w:val="0"/>
        <w:autoSpaceDN w:val="0"/>
        <w:adjustRightInd w:val="0"/>
        <w:rPr>
          <w:color w:val="000000"/>
        </w:rPr>
      </w:pPr>
      <w:r w:rsidRPr="00146C6E">
        <w:rPr>
          <w:b/>
          <w:bCs/>
          <w:color w:val="000000"/>
        </w:rPr>
        <w:t xml:space="preserve">Note: For Medicare members, </w:t>
      </w:r>
      <w:r w:rsidRPr="00146C6E">
        <w:rPr>
          <w:color w:val="000000"/>
        </w:rPr>
        <w:t>to ensure consistency with the Medicare National Coverage Determinations (NCD) and Local Coverage Determinations (LCD), all applicable NCDs</w:t>
      </w:r>
      <w:r>
        <w:rPr>
          <w:color w:val="000000"/>
        </w:rPr>
        <w:t>,</w:t>
      </w:r>
      <w:r w:rsidRPr="00146C6E">
        <w:rPr>
          <w:color w:val="000000"/>
        </w:rPr>
        <w:t xml:space="preserve"> LCDs</w:t>
      </w:r>
      <w:r>
        <w:rPr>
          <w:color w:val="000000"/>
        </w:rPr>
        <w:t xml:space="preserve">, and Medicare Coverage Articles </w:t>
      </w:r>
      <w:r w:rsidRPr="00146C6E">
        <w:rPr>
          <w:color w:val="000000"/>
        </w:rPr>
        <w:t xml:space="preserve">should be reviewed </w:t>
      </w:r>
      <w:r w:rsidRPr="00146C6E">
        <w:rPr>
          <w:color w:val="000000"/>
          <w:u w:val="single"/>
        </w:rPr>
        <w:t>prior to</w:t>
      </w:r>
      <w:r w:rsidRPr="00146C6E">
        <w:rPr>
          <w:color w:val="000000"/>
        </w:rPr>
        <w:t xml:space="preserve"> applying the criteria set forth in this clinical policy. Refer to the CMS website at </w:t>
      </w:r>
      <w:hyperlink r:id="rId21" w:history="1">
        <w:r w:rsidRPr="00146C6E">
          <w:rPr>
            <w:color w:val="000000"/>
            <w:u w:val="single"/>
          </w:rPr>
          <w:t>http://www.cms.gov</w:t>
        </w:r>
      </w:hyperlink>
      <w:r w:rsidRPr="00146C6E">
        <w:rPr>
          <w:color w:val="000000"/>
        </w:rPr>
        <w:t xml:space="preserve"> for additional information. </w:t>
      </w:r>
    </w:p>
    <w:p w14:paraId="031F6301" w14:textId="77777777" w:rsidR="005038F5" w:rsidRPr="00146C6E" w:rsidRDefault="005038F5" w:rsidP="005038F5">
      <w:pPr>
        <w:rPr>
          <w:iCs/>
        </w:rPr>
      </w:pPr>
    </w:p>
    <w:p w14:paraId="6625BC3B" w14:textId="77777777" w:rsidR="005038F5" w:rsidRPr="00146C6E" w:rsidRDefault="005038F5" w:rsidP="005038F5">
      <w:pPr>
        <w:rPr>
          <w:iCs/>
        </w:rPr>
      </w:pPr>
      <w:r w:rsidRPr="00146C6E">
        <w:rPr>
          <w:iCs/>
        </w:rPr>
        <w:t>©2016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146C6E">
        <w:rPr>
          <w:iCs/>
          <w:vertAlign w:val="superscript"/>
        </w:rPr>
        <w:t>®</w:t>
      </w:r>
      <w:r w:rsidRPr="00146C6E">
        <w:rPr>
          <w:iCs/>
        </w:rPr>
        <w:t xml:space="preserve"> and Centene Corporation</w:t>
      </w:r>
      <w:r w:rsidRPr="00146C6E">
        <w:rPr>
          <w:iCs/>
          <w:vertAlign w:val="superscript"/>
        </w:rPr>
        <w:t>®</w:t>
      </w:r>
      <w:r w:rsidRPr="00146C6E">
        <w:rPr>
          <w:iCs/>
        </w:rPr>
        <w:t xml:space="preserve"> are registered trademarks exclusively owned by Centene Corporation.</w:t>
      </w:r>
    </w:p>
    <w:bookmarkEnd w:id="3"/>
    <w:p w14:paraId="50B31D58" w14:textId="77777777" w:rsidR="00C75BD4" w:rsidRDefault="00C75BD4" w:rsidP="00AF5490"/>
    <w:sectPr w:rsidR="00C75BD4"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F3624" w14:textId="77777777" w:rsidR="002F5FD3" w:rsidRDefault="002F5FD3">
      <w:r>
        <w:separator/>
      </w:r>
    </w:p>
  </w:endnote>
  <w:endnote w:type="continuationSeparator" w:id="0">
    <w:p w14:paraId="4BCAEFC2" w14:textId="77777777" w:rsidR="002F5FD3" w:rsidRDefault="002F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21002A87" w:usb1="090F0000" w:usb2="00000010"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DC512" w14:textId="5CFFDE3C" w:rsidR="004B004A" w:rsidRPr="00D574CA" w:rsidRDefault="004B004A" w:rsidP="00D574CA">
    <w:pPr>
      <w:pStyle w:val="Footer"/>
      <w:jc w:val="center"/>
    </w:pPr>
    <w:r>
      <w:t xml:space="preserve">Page </w:t>
    </w:r>
    <w:r>
      <w:rPr>
        <w:b/>
        <w:bCs/>
      </w:rPr>
      <w:fldChar w:fldCharType="begin"/>
    </w:r>
    <w:r>
      <w:rPr>
        <w:b/>
        <w:bCs/>
      </w:rPr>
      <w:instrText xml:space="preserve"> PAGE </w:instrText>
    </w:r>
    <w:r>
      <w:rPr>
        <w:b/>
        <w:bCs/>
      </w:rPr>
      <w:fldChar w:fldCharType="separate"/>
    </w:r>
    <w:r w:rsidR="00525EDE">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525EDE">
      <w:rPr>
        <w:b/>
        <w:bCs/>
        <w:noProof/>
      </w:rPr>
      <w:t>7</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16FB7" w14:textId="43286EA2" w:rsidR="004B004A" w:rsidRDefault="004B004A" w:rsidP="002C6AAB">
    <w:pPr>
      <w:pStyle w:val="Footer"/>
      <w:jc w:val="center"/>
    </w:pPr>
    <w:r>
      <w:t xml:space="preserve">Page </w:t>
    </w:r>
    <w:r>
      <w:fldChar w:fldCharType="begin"/>
    </w:r>
    <w:r>
      <w:instrText xml:space="preserve"> PAGE   \* MERGEFORMAT </w:instrText>
    </w:r>
    <w:r>
      <w:fldChar w:fldCharType="separate"/>
    </w:r>
    <w:r w:rsidR="00525EDE">
      <w:rPr>
        <w:noProof/>
      </w:rPr>
      <w:t>1</w:t>
    </w:r>
    <w:r>
      <w:fldChar w:fldCharType="end"/>
    </w:r>
    <w:r>
      <w:t xml:space="preserve"> of </w:t>
    </w:r>
    <w:r w:rsidR="009E3492">
      <w:rPr>
        <w:noProof/>
      </w:rPr>
      <w:fldChar w:fldCharType="begin"/>
    </w:r>
    <w:r w:rsidR="009E3492">
      <w:rPr>
        <w:noProof/>
      </w:rPr>
      <w:instrText xml:space="preserve"> NUMPAGES   \* MERGEFORMAT </w:instrText>
    </w:r>
    <w:r w:rsidR="009E3492">
      <w:rPr>
        <w:noProof/>
      </w:rPr>
      <w:fldChar w:fldCharType="separate"/>
    </w:r>
    <w:r w:rsidR="00525EDE">
      <w:rPr>
        <w:noProof/>
      </w:rPr>
      <w:t>7</w:t>
    </w:r>
    <w:r w:rsidR="009E349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BCF7A" w14:textId="77777777" w:rsidR="002F5FD3" w:rsidRDefault="002F5FD3">
      <w:r>
        <w:separator/>
      </w:r>
    </w:p>
  </w:footnote>
  <w:footnote w:type="continuationSeparator" w:id="0">
    <w:p w14:paraId="2776780C" w14:textId="77777777" w:rsidR="002F5FD3" w:rsidRDefault="002F5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FE822" w14:textId="77777777" w:rsidR="004B004A" w:rsidRPr="00B777AF" w:rsidRDefault="004B004A"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noProof/>
        <w:color w:val="00548C"/>
      </w:rPr>
      <w:drawing>
        <wp:inline distT="0" distB="0" distL="0" distR="0" wp14:anchorId="21811A13" wp14:editId="70D21F32">
          <wp:extent cx="914400" cy="238125"/>
          <wp:effectExtent l="0" t="0" r="0"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1B394608" w14:textId="77777777" w:rsidR="004B004A" w:rsidRPr="00B777AF" w:rsidRDefault="004B004A" w:rsidP="00B777AF">
    <w:pPr>
      <w:rPr>
        <w:color w:val="00548C"/>
      </w:rPr>
    </w:pPr>
    <w:r>
      <w:rPr>
        <w:rFonts w:ascii="Times New Roman Bold" w:hAnsi="Times New Roman Bold"/>
        <w:b/>
        <w:bCs/>
        <w:color w:val="00548C"/>
      </w:rPr>
      <w:t>Urodynamic Testing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E53DF" w14:textId="77777777" w:rsidR="004B004A" w:rsidRDefault="004B004A" w:rsidP="00B777AF">
    <w:pPr>
      <w:pStyle w:val="Header"/>
      <w:jc w:val="right"/>
    </w:pPr>
    <w:r>
      <w:rPr>
        <w:noProof/>
      </w:rPr>
      <w:drawing>
        <wp:inline distT="0" distB="0" distL="0" distR="0" wp14:anchorId="4803A844" wp14:editId="4F5B1025">
          <wp:extent cx="1371600" cy="352425"/>
          <wp:effectExtent l="0" t="0" r="0" b="9525"/>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5D75"/>
    <w:multiLevelType w:val="hybridMultilevel"/>
    <w:tmpl w:val="300A364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87B32"/>
    <w:multiLevelType w:val="hybridMultilevel"/>
    <w:tmpl w:val="3CC60C38"/>
    <w:lvl w:ilvl="0" w:tplc="D020EC3C">
      <w:start w:val="1"/>
      <w:numFmt w:val="decimal"/>
      <w:lvlText w:val="%1."/>
      <w:lvlJc w:val="left"/>
      <w:pPr>
        <w:ind w:left="720" w:hanging="360"/>
      </w:pPr>
      <w:rPr>
        <w:rFonts w:ascii="Cambria" w:hAnsi="Cambria"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E7697"/>
    <w:multiLevelType w:val="hybridMultilevel"/>
    <w:tmpl w:val="12FCB53C"/>
    <w:lvl w:ilvl="0" w:tplc="705E316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E626C"/>
    <w:multiLevelType w:val="hybridMultilevel"/>
    <w:tmpl w:val="16089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E2D66C2"/>
    <w:multiLevelType w:val="hybridMultilevel"/>
    <w:tmpl w:val="C0E6B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8181C"/>
    <w:multiLevelType w:val="hybridMultilevel"/>
    <w:tmpl w:val="60147472"/>
    <w:lvl w:ilvl="0" w:tplc="7E1EC400">
      <w:start w:val="1"/>
      <w:numFmt w:val="upperRoman"/>
      <w:lvlText w:val="%1."/>
      <w:lvlJc w:val="left"/>
      <w:pPr>
        <w:ind w:left="720" w:hanging="360"/>
      </w:pPr>
      <w:rPr>
        <w:rFonts w:hint="default"/>
        <w:b/>
      </w:rPr>
    </w:lvl>
    <w:lvl w:ilvl="1" w:tplc="DB201D0C">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5"/>
  </w:num>
  <w:num w:numId="4">
    <w:abstractNumId w:val="6"/>
  </w:num>
  <w:num w:numId="5">
    <w:abstractNumId w:val="7"/>
  </w:num>
  <w:num w:numId="6">
    <w:abstractNumId w:val="10"/>
  </w:num>
  <w:num w:numId="7">
    <w:abstractNumId w:val="11"/>
  </w:num>
  <w:num w:numId="8">
    <w:abstractNumId w:val="3"/>
  </w:num>
  <w:num w:numId="9">
    <w:abstractNumId w:val="8"/>
  </w:num>
  <w:num w:numId="10">
    <w:abstractNumId w:val="9"/>
  </w:num>
  <w:num w:numId="11">
    <w:abstractNumId w:val="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062D6"/>
    <w:rsid w:val="000465DE"/>
    <w:rsid w:val="0004733E"/>
    <w:rsid w:val="00060509"/>
    <w:rsid w:val="00083740"/>
    <w:rsid w:val="000D0CE1"/>
    <w:rsid w:val="000E75D0"/>
    <w:rsid w:val="000F10C2"/>
    <w:rsid w:val="001218B4"/>
    <w:rsid w:val="0014316D"/>
    <w:rsid w:val="00170B14"/>
    <w:rsid w:val="001717B0"/>
    <w:rsid w:val="00175F5E"/>
    <w:rsid w:val="001814EF"/>
    <w:rsid w:val="001818D7"/>
    <w:rsid w:val="00185104"/>
    <w:rsid w:val="00192AC5"/>
    <w:rsid w:val="001962BE"/>
    <w:rsid w:val="00196689"/>
    <w:rsid w:val="00196935"/>
    <w:rsid w:val="0019746F"/>
    <w:rsid w:val="0019785D"/>
    <w:rsid w:val="001D0D34"/>
    <w:rsid w:val="001D70D4"/>
    <w:rsid w:val="001E7D12"/>
    <w:rsid w:val="0020675F"/>
    <w:rsid w:val="00220736"/>
    <w:rsid w:val="00230FE4"/>
    <w:rsid w:val="00233651"/>
    <w:rsid w:val="002367BC"/>
    <w:rsid w:val="002377C6"/>
    <w:rsid w:val="0024387A"/>
    <w:rsid w:val="00254020"/>
    <w:rsid w:val="0025452A"/>
    <w:rsid w:val="00280B60"/>
    <w:rsid w:val="00285997"/>
    <w:rsid w:val="002A39EE"/>
    <w:rsid w:val="002B0856"/>
    <w:rsid w:val="002C6AAB"/>
    <w:rsid w:val="002D019A"/>
    <w:rsid w:val="002E1061"/>
    <w:rsid w:val="002E48E7"/>
    <w:rsid w:val="002F5FD3"/>
    <w:rsid w:val="003140D6"/>
    <w:rsid w:val="00350F22"/>
    <w:rsid w:val="0035414A"/>
    <w:rsid w:val="0037682F"/>
    <w:rsid w:val="003840CC"/>
    <w:rsid w:val="00386317"/>
    <w:rsid w:val="003B0C81"/>
    <w:rsid w:val="003B3588"/>
    <w:rsid w:val="003C5E3C"/>
    <w:rsid w:val="003D7BE7"/>
    <w:rsid w:val="00411AA6"/>
    <w:rsid w:val="00443DC2"/>
    <w:rsid w:val="00472C6C"/>
    <w:rsid w:val="00480C09"/>
    <w:rsid w:val="00481C2E"/>
    <w:rsid w:val="004955EE"/>
    <w:rsid w:val="00496BCF"/>
    <w:rsid w:val="00497AED"/>
    <w:rsid w:val="004A74D6"/>
    <w:rsid w:val="004B004A"/>
    <w:rsid w:val="004E0B99"/>
    <w:rsid w:val="004E60D8"/>
    <w:rsid w:val="004F6394"/>
    <w:rsid w:val="005038F5"/>
    <w:rsid w:val="00505830"/>
    <w:rsid w:val="005103B8"/>
    <w:rsid w:val="0051434F"/>
    <w:rsid w:val="00525EDE"/>
    <w:rsid w:val="005423D4"/>
    <w:rsid w:val="005537B0"/>
    <w:rsid w:val="005776FD"/>
    <w:rsid w:val="00581FA1"/>
    <w:rsid w:val="00583376"/>
    <w:rsid w:val="005A142C"/>
    <w:rsid w:val="005C17DF"/>
    <w:rsid w:val="005C3607"/>
    <w:rsid w:val="005D009F"/>
    <w:rsid w:val="005D5146"/>
    <w:rsid w:val="005E411E"/>
    <w:rsid w:val="005F0E0C"/>
    <w:rsid w:val="0061269D"/>
    <w:rsid w:val="0061536B"/>
    <w:rsid w:val="006474BB"/>
    <w:rsid w:val="00665052"/>
    <w:rsid w:val="006664E9"/>
    <w:rsid w:val="00667A9E"/>
    <w:rsid w:val="00677CD7"/>
    <w:rsid w:val="00685B83"/>
    <w:rsid w:val="006D1CB4"/>
    <w:rsid w:val="006F4D70"/>
    <w:rsid w:val="007066A9"/>
    <w:rsid w:val="0071037F"/>
    <w:rsid w:val="00744250"/>
    <w:rsid w:val="007764CE"/>
    <w:rsid w:val="007A0BCC"/>
    <w:rsid w:val="007B07AE"/>
    <w:rsid w:val="007B50D0"/>
    <w:rsid w:val="007D4801"/>
    <w:rsid w:val="007E3539"/>
    <w:rsid w:val="007F1F19"/>
    <w:rsid w:val="0081684F"/>
    <w:rsid w:val="008219E5"/>
    <w:rsid w:val="00821A89"/>
    <w:rsid w:val="00857C10"/>
    <w:rsid w:val="00862561"/>
    <w:rsid w:val="00875924"/>
    <w:rsid w:val="008761DF"/>
    <w:rsid w:val="00877EC7"/>
    <w:rsid w:val="00896E94"/>
    <w:rsid w:val="008B0705"/>
    <w:rsid w:val="008C6B3A"/>
    <w:rsid w:val="00902C9B"/>
    <w:rsid w:val="009135E0"/>
    <w:rsid w:val="00915CA4"/>
    <w:rsid w:val="00924FEE"/>
    <w:rsid w:val="00961071"/>
    <w:rsid w:val="00963062"/>
    <w:rsid w:val="00972CD7"/>
    <w:rsid w:val="009735FA"/>
    <w:rsid w:val="00977ECA"/>
    <w:rsid w:val="00982180"/>
    <w:rsid w:val="009928B2"/>
    <w:rsid w:val="009A167F"/>
    <w:rsid w:val="009B189D"/>
    <w:rsid w:val="009C61B2"/>
    <w:rsid w:val="009D5A47"/>
    <w:rsid w:val="009E2844"/>
    <w:rsid w:val="009E3492"/>
    <w:rsid w:val="009E6F29"/>
    <w:rsid w:val="00A41969"/>
    <w:rsid w:val="00A60413"/>
    <w:rsid w:val="00A60D46"/>
    <w:rsid w:val="00A83658"/>
    <w:rsid w:val="00A85489"/>
    <w:rsid w:val="00A87B1F"/>
    <w:rsid w:val="00AA336E"/>
    <w:rsid w:val="00AA428E"/>
    <w:rsid w:val="00AD1AA6"/>
    <w:rsid w:val="00AF1F2A"/>
    <w:rsid w:val="00AF2889"/>
    <w:rsid w:val="00AF30EF"/>
    <w:rsid w:val="00AF5490"/>
    <w:rsid w:val="00B0579C"/>
    <w:rsid w:val="00B06E25"/>
    <w:rsid w:val="00B330BB"/>
    <w:rsid w:val="00B4633B"/>
    <w:rsid w:val="00B5243B"/>
    <w:rsid w:val="00B777AF"/>
    <w:rsid w:val="00B81789"/>
    <w:rsid w:val="00B92DF1"/>
    <w:rsid w:val="00BB0E58"/>
    <w:rsid w:val="00BC2019"/>
    <w:rsid w:val="00BF4150"/>
    <w:rsid w:val="00C01CDE"/>
    <w:rsid w:val="00C079B0"/>
    <w:rsid w:val="00C11C95"/>
    <w:rsid w:val="00C14250"/>
    <w:rsid w:val="00C2297C"/>
    <w:rsid w:val="00C41D77"/>
    <w:rsid w:val="00C43F6B"/>
    <w:rsid w:val="00C64BB4"/>
    <w:rsid w:val="00C73CF5"/>
    <w:rsid w:val="00C75BD4"/>
    <w:rsid w:val="00C86A68"/>
    <w:rsid w:val="00CA384D"/>
    <w:rsid w:val="00CA53B9"/>
    <w:rsid w:val="00CA5C08"/>
    <w:rsid w:val="00CE63FB"/>
    <w:rsid w:val="00CF2624"/>
    <w:rsid w:val="00D211F2"/>
    <w:rsid w:val="00D36448"/>
    <w:rsid w:val="00D574CA"/>
    <w:rsid w:val="00D71BC4"/>
    <w:rsid w:val="00D77615"/>
    <w:rsid w:val="00DB1DE9"/>
    <w:rsid w:val="00DD025A"/>
    <w:rsid w:val="00DD7D7A"/>
    <w:rsid w:val="00DE18E2"/>
    <w:rsid w:val="00DE7B2A"/>
    <w:rsid w:val="00E12F5D"/>
    <w:rsid w:val="00E641A1"/>
    <w:rsid w:val="00E97C17"/>
    <w:rsid w:val="00EA1CA3"/>
    <w:rsid w:val="00EA3809"/>
    <w:rsid w:val="00EA46A4"/>
    <w:rsid w:val="00EB6E3E"/>
    <w:rsid w:val="00EC54BC"/>
    <w:rsid w:val="00ED0A0D"/>
    <w:rsid w:val="00F03DC0"/>
    <w:rsid w:val="00F2705D"/>
    <w:rsid w:val="00F35C7E"/>
    <w:rsid w:val="00F37EA6"/>
    <w:rsid w:val="00F422E1"/>
    <w:rsid w:val="00F42807"/>
    <w:rsid w:val="00F60425"/>
    <w:rsid w:val="00F71F8E"/>
    <w:rsid w:val="00F74762"/>
    <w:rsid w:val="00F87C8F"/>
    <w:rsid w:val="00F95133"/>
    <w:rsid w:val="00F958DF"/>
    <w:rsid w:val="00FB0592"/>
    <w:rsid w:val="00FB139B"/>
    <w:rsid w:val="00FE290A"/>
    <w:rsid w:val="00FE3357"/>
    <w:rsid w:val="00FF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4EE7E83"/>
  <w15:docId w15:val="{EEE094DB-BAEF-4EBE-B366-9F419451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0E0C"/>
    <w:pPr>
      <w:spacing w:after="200" w:line="276" w:lineRule="auto"/>
      <w:ind w:left="720"/>
      <w:contextualSpacing/>
    </w:pPr>
    <w:rPr>
      <w:rFonts w:ascii="Calibri" w:hAnsi="Calibri"/>
      <w:sz w:val="22"/>
      <w:szCs w:val="22"/>
    </w:rPr>
  </w:style>
  <w:style w:type="character" w:styleId="CommentReference">
    <w:name w:val="annotation reference"/>
    <w:basedOn w:val="DefaultParagraphFont"/>
    <w:rsid w:val="002B0856"/>
    <w:rPr>
      <w:sz w:val="16"/>
      <w:szCs w:val="16"/>
    </w:rPr>
  </w:style>
  <w:style w:type="paragraph" w:styleId="CommentText">
    <w:name w:val="annotation text"/>
    <w:basedOn w:val="Normal"/>
    <w:link w:val="CommentTextChar"/>
    <w:rsid w:val="002B0856"/>
    <w:rPr>
      <w:sz w:val="20"/>
      <w:szCs w:val="20"/>
    </w:rPr>
  </w:style>
  <w:style w:type="character" w:customStyle="1" w:styleId="CommentTextChar">
    <w:name w:val="Comment Text Char"/>
    <w:basedOn w:val="DefaultParagraphFont"/>
    <w:link w:val="CommentText"/>
    <w:rsid w:val="002B0856"/>
  </w:style>
  <w:style w:type="paragraph" w:styleId="CommentSubject">
    <w:name w:val="annotation subject"/>
    <w:basedOn w:val="CommentText"/>
    <w:next w:val="CommentText"/>
    <w:link w:val="CommentSubjectChar"/>
    <w:rsid w:val="002B0856"/>
    <w:rPr>
      <w:b/>
      <w:bCs/>
    </w:rPr>
  </w:style>
  <w:style w:type="character" w:customStyle="1" w:styleId="CommentSubjectChar">
    <w:name w:val="Comment Subject Char"/>
    <w:basedOn w:val="CommentTextChar"/>
    <w:link w:val="CommentSubject"/>
    <w:rsid w:val="002B0856"/>
    <w:rPr>
      <w:b/>
      <w:bCs/>
    </w:rPr>
  </w:style>
  <w:style w:type="character" w:customStyle="1" w:styleId="apple-converted-space">
    <w:name w:val="apple-converted-space"/>
    <w:basedOn w:val="DefaultParagraphFont"/>
    <w:rsid w:val="00D21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2779">
      <w:bodyDiv w:val="1"/>
      <w:marLeft w:val="0"/>
      <w:marRight w:val="0"/>
      <w:marTop w:val="0"/>
      <w:marBottom w:val="0"/>
      <w:divBdr>
        <w:top w:val="none" w:sz="0" w:space="0" w:color="auto"/>
        <w:left w:val="none" w:sz="0" w:space="0" w:color="auto"/>
        <w:bottom w:val="none" w:sz="0" w:space="0" w:color="auto"/>
        <w:right w:val="none" w:sz="0" w:space="0" w:color="auto"/>
      </w:divBdr>
    </w:div>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1123428642">
      <w:bodyDiv w:val="1"/>
      <w:marLeft w:val="0"/>
      <w:marRight w:val="0"/>
      <w:marTop w:val="0"/>
      <w:marBottom w:val="0"/>
      <w:divBdr>
        <w:top w:val="none" w:sz="0" w:space="0" w:color="auto"/>
        <w:left w:val="none" w:sz="0" w:space="0" w:color="auto"/>
        <w:bottom w:val="none" w:sz="0" w:space="0" w:color="auto"/>
        <w:right w:val="none" w:sz="0" w:space="0" w:color="auto"/>
      </w:divBdr>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ncbi.nlm.nih.gov/pubmed/?term=Hay-Smith%20J%5BAuthor%5D&amp;cauthor=true&amp;cauthor_uid=20091581" TargetMode="External"/><Relationship Id="rId3" Type="http://schemas.openxmlformats.org/officeDocument/2006/relationships/customXml" Target="../customXml/item3.xml"/><Relationship Id="rId21" Type="http://schemas.openxmlformats.org/officeDocument/2006/relationships/hyperlink" Target="http://www.cms.gov"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control" Target="activeX/activeX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hyperlink" Target="http://www.ncbi.nlm.nih.gov/pubmed/2652115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ontrol" Target="activeX/activeX1.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ncbi.nlm.nih.gov/pubmed/266491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w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43D3E8-8FB5-451D-AAEF-F9C6F5FB3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D8BAC3B-6DD3-43B2-8695-F745C2A63519}">
  <ds:schemaRefs>
    <ds:schemaRef ds:uri="http://schemas.microsoft.com/sharepoint/v3/contenttype/forms"/>
  </ds:schemaRefs>
</ds:datastoreItem>
</file>

<file path=customXml/itemProps3.xml><?xml version="1.0" encoding="utf-8"?>
<ds:datastoreItem xmlns:ds="http://schemas.openxmlformats.org/officeDocument/2006/customXml" ds:itemID="{3BE8E42A-DFA4-48DE-9229-0114B6A8988F}">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2591</Words>
  <Characters>16746</Characters>
  <Application>Microsoft Office Word</Application>
  <DocSecurity>2</DocSecurity>
  <Lines>139</Lines>
  <Paragraphs>38</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19299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Marianne E. Santoro</cp:lastModifiedBy>
  <cp:revision>2</cp:revision>
  <cp:lastPrinted>2018-05-10T14:34:00Z</cp:lastPrinted>
  <dcterms:created xsi:type="dcterms:W3CDTF">2019-09-25T19:50:00Z</dcterms:created>
  <dcterms:modified xsi:type="dcterms:W3CDTF">2019-09-25T19:50:00Z</dcterms:modified>
</cp:coreProperties>
</file>