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9EDC" w14:textId="77777777" w:rsidR="00D574CA" w:rsidRPr="002A0623" w:rsidRDefault="00230FE4" w:rsidP="00D574CA">
      <w:pPr>
        <w:pStyle w:val="PolicyMainHead"/>
        <w:tabs>
          <w:tab w:val="left" w:pos="360"/>
        </w:tabs>
        <w:spacing w:after="0" w:line="240" w:lineRule="auto"/>
        <w:rPr>
          <w:rFonts w:ascii="Times New Roman" w:hAnsi="Times New Roman"/>
          <w:color w:val="00548C"/>
          <w:sz w:val="32"/>
        </w:rPr>
      </w:pPr>
      <w:r w:rsidRPr="002A0623">
        <w:rPr>
          <w:rFonts w:ascii="Times New Roman" w:hAnsi="Times New Roman"/>
          <w:color w:val="00548C"/>
          <w:sz w:val="32"/>
        </w:rPr>
        <w:t xml:space="preserve">Clinical Policy: </w:t>
      </w:r>
      <w:r w:rsidR="00E60621" w:rsidRPr="002A0623">
        <w:rPr>
          <w:rFonts w:ascii="Times New Roman" w:hAnsi="Times New Roman"/>
          <w:color w:val="00548C"/>
          <w:sz w:val="32"/>
        </w:rPr>
        <w:t>Testing</w:t>
      </w:r>
      <w:r w:rsidR="002A0623">
        <w:rPr>
          <w:rFonts w:ascii="Times New Roman" w:hAnsi="Times New Roman"/>
          <w:color w:val="00548C"/>
          <w:sz w:val="32"/>
        </w:rPr>
        <w:t xml:space="preserve"> for</w:t>
      </w:r>
      <w:r w:rsidR="00CA5D50">
        <w:rPr>
          <w:rFonts w:ascii="Times New Roman" w:hAnsi="Times New Roman"/>
          <w:color w:val="00548C"/>
          <w:sz w:val="32"/>
        </w:rPr>
        <w:t xml:space="preserve"> Select</w:t>
      </w:r>
      <w:r w:rsidR="002A0623">
        <w:rPr>
          <w:rFonts w:ascii="Times New Roman" w:hAnsi="Times New Roman"/>
          <w:color w:val="00548C"/>
          <w:sz w:val="32"/>
        </w:rPr>
        <w:t xml:space="preserve"> Genitou</w:t>
      </w:r>
      <w:r w:rsidR="00E60621">
        <w:rPr>
          <w:rFonts w:ascii="Times New Roman" w:hAnsi="Times New Roman"/>
          <w:color w:val="00548C"/>
          <w:sz w:val="32"/>
        </w:rPr>
        <w:t>rinary Conditions</w:t>
      </w:r>
    </w:p>
    <w:p w14:paraId="2CF99EDD" w14:textId="77777777" w:rsidR="00B777AF" w:rsidRPr="002A0623" w:rsidRDefault="00B777AF" w:rsidP="00D574CA">
      <w:pPr>
        <w:pStyle w:val="PolicyMainHead"/>
        <w:tabs>
          <w:tab w:val="left" w:pos="360"/>
        </w:tabs>
        <w:spacing w:after="0" w:line="240" w:lineRule="auto"/>
        <w:rPr>
          <w:color w:val="00548C"/>
          <w:sz w:val="22"/>
        </w:rPr>
        <w:sectPr w:rsidR="00B777AF" w:rsidRPr="002A0623"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2CF99EDE" w14:textId="77777777" w:rsidR="00BD256A" w:rsidRPr="003D7BE7" w:rsidRDefault="00D574CA" w:rsidP="00BD256A">
      <w:pPr>
        <w:pStyle w:val="PolicyMainHead"/>
        <w:tabs>
          <w:tab w:val="left" w:pos="360"/>
        </w:tabs>
        <w:spacing w:after="0" w:line="240" w:lineRule="auto"/>
        <w:rPr>
          <w:rFonts w:ascii="Times New Roman" w:hAnsi="Times New Roman"/>
          <w:color w:val="00548C"/>
          <w:sz w:val="24"/>
          <w:szCs w:val="24"/>
        </w:rPr>
        <w:sectPr w:rsidR="00BD256A"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006D6">
        <w:rPr>
          <w:rFonts w:ascii="Times New Roman" w:hAnsi="Times New Roman"/>
          <w:color w:val="00548C"/>
          <w:sz w:val="24"/>
          <w:szCs w:val="24"/>
        </w:rPr>
        <w:t>MP.97</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D256A">
        <w:rPr>
          <w:rFonts w:ascii="Times New Roman" w:hAnsi="Times New Roman"/>
          <w:color w:val="00548C"/>
          <w:sz w:val="24"/>
          <w:szCs w:val="24"/>
        </w:rPr>
        <w:t xml:space="preserve">                 </w:t>
      </w:r>
      <w:hyperlink w:anchor="Coding_Implications" w:history="1">
        <w:r w:rsidR="00BD256A" w:rsidRPr="00875924">
          <w:rPr>
            <w:rStyle w:val="Hyperlink"/>
            <w:rFonts w:ascii="Times New Roman" w:hAnsi="Times New Roman"/>
            <w:sz w:val="24"/>
            <w:szCs w:val="24"/>
          </w:rPr>
          <w:t>Coding Implications</w:t>
        </w:r>
      </w:hyperlink>
      <w:r w:rsidR="00BD256A" w:rsidRPr="003D7BE7">
        <w:rPr>
          <w:rFonts w:ascii="Times New Roman" w:hAnsi="Times New Roman"/>
          <w:color w:val="00548C"/>
          <w:sz w:val="24"/>
          <w:szCs w:val="24"/>
        </w:rPr>
        <w:t xml:space="preserve"> </w:t>
      </w:r>
    </w:p>
    <w:p w14:paraId="2CF99EDF" w14:textId="21E1B851" w:rsidR="00BD256A" w:rsidRDefault="00BD256A" w:rsidP="00BD256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45529A">
        <w:rPr>
          <w:rFonts w:ascii="Times New Roman" w:hAnsi="Times New Roman"/>
          <w:color w:val="00548C"/>
          <w:sz w:val="24"/>
          <w:szCs w:val="24"/>
        </w:rPr>
        <w:t>0</w:t>
      </w:r>
      <w:r w:rsidR="001A71C3">
        <w:rPr>
          <w:rFonts w:ascii="Times New Roman" w:hAnsi="Times New Roman"/>
          <w:color w:val="00548C"/>
          <w:sz w:val="24"/>
          <w:szCs w:val="24"/>
        </w:rPr>
        <w:t>8</w:t>
      </w:r>
      <w:r w:rsidR="0045529A">
        <w:rPr>
          <w:rFonts w:ascii="Times New Roman" w:hAnsi="Times New Roman"/>
          <w:color w:val="00548C"/>
          <w:sz w:val="24"/>
          <w:szCs w:val="24"/>
        </w:rPr>
        <w:t>/19</w:t>
      </w:r>
    </w:p>
    <w:p w14:paraId="2CF99EE0" w14:textId="77777777" w:rsidR="00BD256A" w:rsidRDefault="005A7B1F" w:rsidP="00BD256A">
      <w:pPr>
        <w:pStyle w:val="PolicyMainHead"/>
        <w:tabs>
          <w:tab w:val="left" w:pos="360"/>
        </w:tabs>
        <w:spacing w:after="0" w:line="240" w:lineRule="auto"/>
        <w:jc w:val="right"/>
        <w:rPr>
          <w:rStyle w:val="Strong"/>
          <w:rFonts w:ascii="Times New Roman" w:hAnsi="Times New Roman"/>
          <w:b w:val="0"/>
          <w:bCs w:val="0"/>
          <w:u w:val="single"/>
        </w:rPr>
        <w:sectPr w:rsidR="00BD256A" w:rsidSect="00875924">
          <w:type w:val="continuous"/>
          <w:pgSz w:w="12240" w:h="15840" w:code="1"/>
          <w:pgMar w:top="1440" w:right="1170" w:bottom="1440" w:left="1440" w:header="576" w:footer="288" w:gutter="0"/>
          <w:cols w:num="2" w:space="720"/>
          <w:titlePg/>
          <w:docGrid w:linePitch="360"/>
        </w:sectPr>
      </w:pPr>
      <w:hyperlink w:anchor="Revision_Log" w:history="1">
        <w:r w:rsidR="00BD256A" w:rsidRPr="003D7BE7">
          <w:rPr>
            <w:rStyle w:val="Hyperlink"/>
            <w:rFonts w:ascii="Times New Roman" w:hAnsi="Times New Roman"/>
            <w:sz w:val="24"/>
            <w:szCs w:val="24"/>
          </w:rPr>
          <w:t>Revision Log</w:t>
        </w:r>
      </w:hyperlink>
      <w:r w:rsidR="00BD256A">
        <w:rPr>
          <w:rFonts w:ascii="Times New Roman" w:hAnsi="Times New Roman"/>
          <w:color w:val="00548C"/>
          <w:sz w:val="24"/>
          <w:szCs w:val="24"/>
        </w:rPr>
        <w:t xml:space="preserve"> </w:t>
      </w:r>
    </w:p>
    <w:p w14:paraId="2CF99EE1" w14:textId="77777777" w:rsidR="00B777AF" w:rsidRPr="003D7BE7" w:rsidRDefault="00B777AF"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p>
    <w:p w14:paraId="2CF99EE4" w14:textId="77777777" w:rsidR="00F03DC0" w:rsidRPr="00C73CF5" w:rsidRDefault="003C5F53" w:rsidP="00F03DC0">
      <w:pPr>
        <w:autoSpaceDE w:val="0"/>
        <w:autoSpaceDN w:val="0"/>
        <w:adjustRightInd w:val="0"/>
        <w:rPr>
          <w:color w:val="000000"/>
          <w:sz w:val="22"/>
        </w:rPr>
      </w:pPr>
      <w:r w:rsidRPr="005D7B81">
        <w:rPr>
          <w:b/>
          <w:color w:val="00548C"/>
        </w:rPr>
        <w:t xml:space="preserve">See </w:t>
      </w:r>
      <w:hyperlink w:anchor="Important_Reminder" w:history="1">
        <w:r w:rsidRPr="005D7B81">
          <w:rPr>
            <w:rStyle w:val="Hyperlink"/>
            <w:noProof/>
          </w:rPr>
          <w:t>Important Reminder</w:t>
        </w:r>
      </w:hyperlink>
      <w:r w:rsidRPr="005D7B81">
        <w:rPr>
          <w:b/>
          <w:color w:val="00548C"/>
        </w:rPr>
        <w:t xml:space="preserve"> at the end of th</w:t>
      </w:r>
      <w:r>
        <w:rPr>
          <w:b/>
          <w:color w:val="00548C"/>
        </w:rPr>
        <w:t>is</w:t>
      </w:r>
      <w:r w:rsidRPr="005D7B81">
        <w:rPr>
          <w:b/>
          <w:color w:val="00548C"/>
        </w:rPr>
        <w:t xml:space="preserve"> policy for</w:t>
      </w:r>
      <w:r>
        <w:rPr>
          <w:b/>
          <w:color w:val="00548C"/>
        </w:rPr>
        <w:t xml:space="preserve"> important</w:t>
      </w:r>
      <w:r w:rsidRPr="005D7B81">
        <w:rPr>
          <w:b/>
          <w:color w:val="00548C"/>
        </w:rPr>
        <w:t xml:space="preserve"> regulatory and legal information</w:t>
      </w:r>
      <w:r>
        <w:rPr>
          <w:b/>
          <w:color w:val="00548C"/>
        </w:rPr>
        <w:t>.</w:t>
      </w:r>
      <w:r w:rsidR="00F03DC0" w:rsidRPr="00C73CF5">
        <w:rPr>
          <w:color w:val="000000"/>
          <w:sz w:val="22"/>
        </w:rPr>
        <w:t xml:space="preserve"> </w:t>
      </w:r>
    </w:p>
    <w:p w14:paraId="2CF99EE5"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2CF99EE6" w14:textId="77777777" w:rsidR="00583376" w:rsidRPr="00F76CAD" w:rsidRDefault="00583376" w:rsidP="00F76CAD">
      <w:pPr>
        <w:pStyle w:val="Heading1"/>
        <w:rPr>
          <w:sz w:val="24"/>
        </w:rPr>
      </w:pPr>
      <w:r w:rsidRPr="00F76CAD">
        <w:rPr>
          <w:sz w:val="24"/>
        </w:rPr>
        <w:t xml:space="preserve">Description </w:t>
      </w:r>
    </w:p>
    <w:p w14:paraId="2CF99EE7" w14:textId="209B06FA" w:rsidR="00622234" w:rsidRPr="000F304F" w:rsidRDefault="00622234" w:rsidP="00622234">
      <w:r w:rsidRPr="000F304F">
        <w:t>Various diagnostic methods are available to identify the etiology of the si</w:t>
      </w:r>
      <w:r w:rsidR="00470D11">
        <w:t>gns and symptoms of vaginitis.</w:t>
      </w:r>
      <w:r w:rsidR="0045529A">
        <w:t xml:space="preserve"> </w:t>
      </w:r>
      <w:r w:rsidR="00470D11">
        <w:t xml:space="preserve"> </w:t>
      </w:r>
      <w:r w:rsidRPr="000F304F">
        <w:t>The purpose of this policy is to define medical necessity criteria for the diagnostic evaluation of vaginitis</w:t>
      </w:r>
      <w:r w:rsidR="002632A7">
        <w:t xml:space="preserve"> in members </w:t>
      </w:r>
      <w:r w:rsidR="002632A7">
        <w:rPr>
          <w:bCs/>
          <w:color w:val="000000"/>
        </w:rPr>
        <w:t>≥ 13 years of age</w:t>
      </w:r>
      <w:r w:rsidRPr="000F304F">
        <w:t>.</w:t>
      </w:r>
      <w:r w:rsidR="0045529A">
        <w:t xml:space="preserve"> </w:t>
      </w:r>
      <w:r w:rsidRPr="000F304F">
        <w:t xml:space="preserve"> </w:t>
      </w:r>
      <w:r w:rsidR="00957397">
        <w:t>This policy also defines unnecessary amplified DNA</w:t>
      </w:r>
      <w:r w:rsidR="00E42BCD">
        <w:t>- (</w:t>
      </w:r>
      <w:r w:rsidR="00E42BCD" w:rsidRPr="008F51D6">
        <w:t>deoxyribonucleic acid</w:t>
      </w:r>
      <w:r w:rsidR="00E42BCD">
        <w:t>)</w:t>
      </w:r>
      <w:r w:rsidR="00AC267A">
        <w:t xml:space="preserve"> </w:t>
      </w:r>
      <w:r w:rsidR="00957397">
        <w:t xml:space="preserve">probe testing for genitourinary conditions.  </w:t>
      </w:r>
    </w:p>
    <w:p w14:paraId="2CF99EE8" w14:textId="77777777" w:rsidR="00ED0A0D" w:rsidRPr="00B777AF" w:rsidRDefault="00ED0A0D" w:rsidP="00196935"/>
    <w:p w14:paraId="2CF99EE9" w14:textId="77777777" w:rsidR="00583376" w:rsidRPr="00B777AF" w:rsidRDefault="00583376">
      <w:pPr>
        <w:pStyle w:val="Heading2"/>
        <w:rPr>
          <w:u w:val="none"/>
        </w:rPr>
      </w:pPr>
      <w:r w:rsidRPr="00B777AF">
        <w:rPr>
          <w:u w:val="none"/>
        </w:rPr>
        <w:t>Policy/Criteria</w:t>
      </w:r>
    </w:p>
    <w:p w14:paraId="2CF99EEA" w14:textId="440767A8" w:rsidR="003840CC" w:rsidRDefault="00F74762" w:rsidP="003159F2">
      <w:pPr>
        <w:numPr>
          <w:ilvl w:val="0"/>
          <w:numId w:val="9"/>
        </w:numPr>
        <w:ind w:left="360"/>
        <w:rPr>
          <w:bCs/>
          <w:color w:val="000000"/>
        </w:rPr>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that</w:t>
      </w:r>
      <w:r w:rsidR="007C1C03">
        <w:rPr>
          <w:bCs/>
          <w:color w:val="000000"/>
        </w:rPr>
        <w:t xml:space="preserve"> </w:t>
      </w:r>
      <w:r w:rsidR="007442D0">
        <w:rPr>
          <w:bCs/>
          <w:color w:val="000000"/>
        </w:rPr>
        <w:t xml:space="preserve">the following </w:t>
      </w:r>
      <w:r w:rsidR="00622234">
        <w:rPr>
          <w:bCs/>
          <w:color w:val="000000"/>
        </w:rPr>
        <w:t>diagnostic test</w:t>
      </w:r>
      <w:r w:rsidR="007442D0">
        <w:rPr>
          <w:bCs/>
          <w:color w:val="000000"/>
        </w:rPr>
        <w:t>s</w:t>
      </w:r>
      <w:r w:rsidR="00622234">
        <w:rPr>
          <w:bCs/>
          <w:color w:val="000000"/>
        </w:rPr>
        <w:t xml:space="preserve"> for </w:t>
      </w:r>
      <w:r w:rsidR="002B749D">
        <w:rPr>
          <w:bCs/>
          <w:color w:val="000000"/>
        </w:rPr>
        <w:t xml:space="preserve">symptomatic women for </w:t>
      </w:r>
      <w:r w:rsidR="00622234">
        <w:rPr>
          <w:bCs/>
          <w:color w:val="000000"/>
        </w:rPr>
        <w:t>the evaluation of vaginitis</w:t>
      </w:r>
      <w:r>
        <w:rPr>
          <w:bCs/>
          <w:color w:val="000000"/>
        </w:rPr>
        <w:t xml:space="preserve"> </w:t>
      </w:r>
      <w:r w:rsidR="007442D0">
        <w:rPr>
          <w:bCs/>
          <w:color w:val="000000"/>
        </w:rPr>
        <w:t>are</w:t>
      </w:r>
      <w:r>
        <w:rPr>
          <w:bCs/>
          <w:color w:val="000000"/>
        </w:rPr>
        <w:t xml:space="preserve"> </w:t>
      </w:r>
      <w:r>
        <w:rPr>
          <w:b/>
          <w:bCs/>
          <w:color w:val="000000"/>
        </w:rPr>
        <w:t>medically necessary</w:t>
      </w:r>
      <w:r>
        <w:rPr>
          <w:bCs/>
          <w:color w:val="000000"/>
        </w:rPr>
        <w:t xml:space="preserve"> </w:t>
      </w:r>
      <w:r w:rsidR="007442D0">
        <w:rPr>
          <w:bCs/>
          <w:color w:val="000000"/>
        </w:rPr>
        <w:t>for members</w:t>
      </w:r>
      <w:r w:rsidR="002632A7">
        <w:rPr>
          <w:bCs/>
          <w:color w:val="000000"/>
        </w:rPr>
        <w:t xml:space="preserve"> age ≥ 13</w:t>
      </w:r>
      <w:r>
        <w:rPr>
          <w:bCs/>
          <w:color w:val="000000"/>
        </w:rPr>
        <w:t>:</w:t>
      </w:r>
    </w:p>
    <w:p w14:paraId="2CF99EEB" w14:textId="77777777" w:rsidR="00EE5573" w:rsidRDefault="00F515DE" w:rsidP="003159F2">
      <w:pPr>
        <w:numPr>
          <w:ilvl w:val="1"/>
          <w:numId w:val="9"/>
        </w:numPr>
        <w:ind w:left="720"/>
        <w:rPr>
          <w:bCs/>
          <w:color w:val="000000"/>
        </w:rPr>
      </w:pPr>
      <w:r>
        <w:rPr>
          <w:bCs/>
          <w:color w:val="000000"/>
        </w:rPr>
        <w:t xml:space="preserve">Microscopy with wet mount, KOH mount, and vaginal </w:t>
      </w:r>
      <w:r w:rsidR="004611C6">
        <w:rPr>
          <w:bCs/>
          <w:color w:val="000000"/>
        </w:rPr>
        <w:t>pH</w:t>
      </w:r>
      <w:r w:rsidR="00EE5573">
        <w:rPr>
          <w:bCs/>
          <w:color w:val="000000"/>
        </w:rPr>
        <w:t>;</w:t>
      </w:r>
    </w:p>
    <w:p w14:paraId="2CF99EEC" w14:textId="77777777" w:rsidR="006F2687" w:rsidRDefault="00F515DE" w:rsidP="003159F2">
      <w:pPr>
        <w:numPr>
          <w:ilvl w:val="1"/>
          <w:numId w:val="9"/>
        </w:numPr>
        <w:ind w:left="720"/>
        <w:rPr>
          <w:bCs/>
          <w:color w:val="000000"/>
        </w:rPr>
      </w:pPr>
      <w:r>
        <w:t xml:space="preserve">Assay for </w:t>
      </w:r>
      <w:r w:rsidR="006F2687">
        <w:t>sialidase activity;</w:t>
      </w:r>
    </w:p>
    <w:p w14:paraId="2CF99EEE" w14:textId="0B9C16AB" w:rsidR="00B452D7" w:rsidRPr="00610C61" w:rsidRDefault="00332B04" w:rsidP="00610C61">
      <w:pPr>
        <w:numPr>
          <w:ilvl w:val="1"/>
          <w:numId w:val="9"/>
        </w:numPr>
        <w:ind w:left="720"/>
        <w:rPr>
          <w:bCs/>
          <w:color w:val="000000"/>
        </w:rPr>
      </w:pPr>
      <w:r>
        <w:rPr>
          <w:bCs/>
          <w:color w:val="000000"/>
        </w:rPr>
        <w:t xml:space="preserve">Direct DNA probe tests to detect the presence of </w:t>
      </w:r>
      <w:r w:rsidRPr="002A0623">
        <w:rPr>
          <w:bCs/>
          <w:i/>
          <w:color w:val="000000"/>
        </w:rPr>
        <w:t>Candida</w:t>
      </w:r>
      <w:r w:rsidR="00FB5BA0">
        <w:rPr>
          <w:bCs/>
          <w:i/>
          <w:color w:val="000000"/>
        </w:rPr>
        <w:t xml:space="preserve"> and</w:t>
      </w:r>
      <w:r>
        <w:rPr>
          <w:bCs/>
          <w:color w:val="000000"/>
        </w:rPr>
        <w:t xml:space="preserve"> </w:t>
      </w:r>
      <w:r w:rsidR="00FB5BA0">
        <w:rPr>
          <w:bCs/>
          <w:i/>
          <w:color w:val="000000"/>
        </w:rPr>
        <w:t>Gardnerella vaginalis.</w:t>
      </w:r>
    </w:p>
    <w:p w14:paraId="2CF99EEF" w14:textId="77777777" w:rsidR="00FB139B" w:rsidRDefault="00FB139B" w:rsidP="003840CC">
      <w:pPr>
        <w:rPr>
          <w:bCs/>
          <w:color w:val="000000"/>
        </w:rPr>
      </w:pPr>
    </w:p>
    <w:p w14:paraId="2CF99EF0" w14:textId="77777777" w:rsidR="005175C1" w:rsidRPr="005175C1" w:rsidRDefault="005175C1" w:rsidP="005175C1">
      <w:pPr>
        <w:numPr>
          <w:ilvl w:val="0"/>
          <w:numId w:val="9"/>
        </w:numPr>
        <w:ind w:left="360"/>
      </w:pPr>
      <w:r>
        <w:rPr>
          <w:bCs/>
          <w:color w:val="000000"/>
        </w:rPr>
        <w:t>I</w:t>
      </w:r>
      <w:r w:rsidRPr="00026124">
        <w:rPr>
          <w:bCs/>
          <w:color w:val="000000"/>
        </w:rPr>
        <w:t>t is the policy of health plans affiliated with Centene Corporation that</w:t>
      </w:r>
      <w:r>
        <w:rPr>
          <w:bCs/>
          <w:color w:val="000000"/>
        </w:rPr>
        <w:t xml:space="preserve"> </w:t>
      </w:r>
      <w:r w:rsidRPr="000530DC">
        <w:rPr>
          <w:bCs/>
          <w:color w:val="000000"/>
        </w:rPr>
        <w:t>s</w:t>
      </w:r>
      <w:r w:rsidRPr="000530DC">
        <w:t xml:space="preserve">creening of asymptomatic </w:t>
      </w:r>
      <w:r w:rsidRPr="007B66F9">
        <w:t>pregnant women for bacterial vaginosis (BV) to reduce the incidence of pre-term birth or other complications of pregnancy</w:t>
      </w:r>
      <w:r w:rsidRPr="00C006D6">
        <w:t xml:space="preserve"> is </w:t>
      </w:r>
      <w:r w:rsidRPr="00C006D6">
        <w:rPr>
          <w:b/>
        </w:rPr>
        <w:t>not medically necessary</w:t>
      </w:r>
      <w:r w:rsidRPr="00C006D6">
        <w:t xml:space="preserve"> as there is no evidence that treatment of BV in asymptomatic pregnant women reduces these complications.</w:t>
      </w:r>
      <w:r>
        <w:rPr>
          <w:vertAlign w:val="superscript"/>
        </w:rPr>
        <w:t>9</w:t>
      </w:r>
    </w:p>
    <w:p w14:paraId="2CF99EF1" w14:textId="77777777" w:rsidR="005175C1" w:rsidRPr="002A0623" w:rsidRDefault="005175C1" w:rsidP="005175C1">
      <w:pPr>
        <w:ind w:left="360"/>
      </w:pPr>
    </w:p>
    <w:p w14:paraId="2CF99EF2" w14:textId="288A27DF" w:rsidR="004C70F6" w:rsidRDefault="00026124">
      <w:pPr>
        <w:numPr>
          <w:ilvl w:val="0"/>
          <w:numId w:val="9"/>
        </w:numPr>
        <w:ind w:left="360"/>
      </w:pPr>
      <w:r w:rsidRPr="003D47A7">
        <w:rPr>
          <w:bCs/>
          <w:color w:val="000000"/>
        </w:rPr>
        <w:t>It is the policy of health plans affiliated with Centene Corporation that</w:t>
      </w:r>
      <w:r w:rsidR="005175C1">
        <w:rPr>
          <w:bCs/>
          <w:color w:val="000000"/>
        </w:rPr>
        <w:t xml:space="preserve"> </w:t>
      </w:r>
      <w:r w:rsidR="005175C1" w:rsidRPr="007B66F9">
        <w:rPr>
          <w:bCs/>
          <w:color w:val="000000"/>
        </w:rPr>
        <w:t>unspecified</w:t>
      </w:r>
      <w:r w:rsidRPr="007B66F9">
        <w:rPr>
          <w:bCs/>
          <w:color w:val="000000"/>
        </w:rPr>
        <w:t xml:space="preserve"> </w:t>
      </w:r>
      <w:r w:rsidRPr="007B66F9">
        <w:t>amplified DNA-probe testing</w:t>
      </w:r>
      <w:r w:rsidR="002A0623" w:rsidRPr="007B66F9">
        <w:t xml:space="preserve"> for genito</w:t>
      </w:r>
      <w:r w:rsidR="004D6A15" w:rsidRPr="007B66F9">
        <w:t xml:space="preserve">urinary conditions </w:t>
      </w:r>
      <w:r w:rsidR="008909D2" w:rsidRPr="007B66F9">
        <w:t>for asymptomatic women during routine exams</w:t>
      </w:r>
      <w:r w:rsidR="005175C1" w:rsidRPr="007B66F9">
        <w:t>, contraceptive management care,</w:t>
      </w:r>
      <w:r w:rsidR="00E60621" w:rsidRPr="007B66F9">
        <w:t xml:space="preserve"> </w:t>
      </w:r>
      <w:r w:rsidR="005175C1" w:rsidRPr="007B66F9">
        <w:t xml:space="preserve">or pregnancy care </w:t>
      </w:r>
      <w:r w:rsidRPr="007B66F9">
        <w:t xml:space="preserve">is considered </w:t>
      </w:r>
      <w:r w:rsidRPr="007B66F9">
        <w:rPr>
          <w:b/>
        </w:rPr>
        <w:t>not medically necessary</w:t>
      </w:r>
      <w:r w:rsidRPr="003D47A7">
        <w:rPr>
          <w:b/>
        </w:rPr>
        <w:t xml:space="preserve"> </w:t>
      </w:r>
      <w:r w:rsidR="002632A7" w:rsidRPr="003D47A7">
        <w:rPr>
          <w:bCs/>
          <w:color w:val="000000"/>
        </w:rPr>
        <w:t xml:space="preserve">for </w:t>
      </w:r>
      <w:r w:rsidR="00CA5A91" w:rsidRPr="003D47A7">
        <w:rPr>
          <w:bCs/>
          <w:color w:val="000000"/>
        </w:rPr>
        <w:t>members</w:t>
      </w:r>
      <w:r w:rsidR="002632A7" w:rsidRPr="003D47A7">
        <w:rPr>
          <w:bCs/>
          <w:color w:val="000000"/>
        </w:rPr>
        <w:t xml:space="preserve"> ≥ 13</w:t>
      </w:r>
      <w:r w:rsidR="00047FE4">
        <w:rPr>
          <w:bCs/>
          <w:color w:val="000000"/>
        </w:rPr>
        <w:t xml:space="preserve"> year of age</w:t>
      </w:r>
      <w:r w:rsidR="002632A7" w:rsidRPr="003D47A7">
        <w:rPr>
          <w:bCs/>
          <w:color w:val="000000"/>
        </w:rPr>
        <w:t xml:space="preserve"> </w:t>
      </w:r>
      <w:r w:rsidRPr="00026124">
        <w:t>as it has not been shown to improve clinical outcomes over direct DNA-probe testing.</w:t>
      </w:r>
      <w:r w:rsidR="004D6A15">
        <w:t xml:space="preserve">  </w:t>
      </w:r>
    </w:p>
    <w:p w14:paraId="2CF99EF3" w14:textId="77777777" w:rsidR="004D6A15" w:rsidRDefault="004D6A15" w:rsidP="002A0623">
      <w:pPr>
        <w:ind w:left="720"/>
        <w:rPr>
          <w:bCs/>
          <w:color w:val="000000"/>
        </w:rPr>
      </w:pPr>
    </w:p>
    <w:p w14:paraId="2CF99EF4" w14:textId="5B7E9276" w:rsidR="004D6A15" w:rsidRDefault="004D6A15" w:rsidP="002A0623">
      <w:pPr>
        <w:numPr>
          <w:ilvl w:val="0"/>
          <w:numId w:val="9"/>
        </w:numPr>
        <w:ind w:left="360"/>
        <w:rPr>
          <w:bCs/>
          <w:color w:val="000000"/>
        </w:rPr>
      </w:pPr>
      <w:r w:rsidRPr="003D47A7">
        <w:rPr>
          <w:bCs/>
          <w:color w:val="000000"/>
        </w:rPr>
        <w:t xml:space="preserve">It is the policy of health plans affiliated with Centene Corporation that </w:t>
      </w:r>
      <w:r w:rsidR="005175C1" w:rsidRPr="007B66F9">
        <w:rPr>
          <w:bCs/>
          <w:color w:val="000000"/>
        </w:rPr>
        <w:t xml:space="preserve">unspecified </w:t>
      </w:r>
      <w:r w:rsidRPr="007B66F9">
        <w:t xml:space="preserve">amplified DNA-probe testing for the diagnostic evaluation of symptomatic women for </w:t>
      </w:r>
      <w:r w:rsidR="002A0623" w:rsidRPr="007B66F9">
        <w:t>the following genito</w:t>
      </w:r>
      <w:r w:rsidRPr="007B66F9">
        <w:t xml:space="preserve">urinary conditions is considered </w:t>
      </w:r>
      <w:r w:rsidRPr="007B66F9">
        <w:rPr>
          <w:b/>
        </w:rPr>
        <w:t>not medically necessary</w:t>
      </w:r>
      <w:r w:rsidRPr="003D47A7">
        <w:rPr>
          <w:b/>
        </w:rPr>
        <w:t xml:space="preserve"> </w:t>
      </w:r>
      <w:r w:rsidRPr="003D47A7">
        <w:rPr>
          <w:bCs/>
          <w:color w:val="000000"/>
        </w:rPr>
        <w:t xml:space="preserve">for members ≥ 13 </w:t>
      </w:r>
      <w:r w:rsidR="00047FE4">
        <w:rPr>
          <w:bCs/>
          <w:color w:val="000000"/>
        </w:rPr>
        <w:t xml:space="preserve">of age </w:t>
      </w:r>
      <w:r w:rsidRPr="00026124">
        <w:t>as it has not been shown to improve clinical outcome</w:t>
      </w:r>
      <w:r w:rsidR="00AC267A">
        <w:t xml:space="preserve">s </w:t>
      </w:r>
      <w:r w:rsidR="00AC267A" w:rsidRPr="007B66F9">
        <w:t>over direct DNA-probe testing</w:t>
      </w:r>
      <w:r w:rsidR="00AC267A">
        <w:t>:</w:t>
      </w:r>
      <w:r>
        <w:t xml:space="preserve">  </w:t>
      </w:r>
    </w:p>
    <w:p w14:paraId="2CF99EF5" w14:textId="77777777" w:rsidR="00DB7E95" w:rsidRPr="005175C1" w:rsidRDefault="00DB7E95" w:rsidP="005175C1">
      <w:pPr>
        <w:numPr>
          <w:ilvl w:val="1"/>
          <w:numId w:val="9"/>
        </w:numPr>
        <w:ind w:left="720"/>
        <w:rPr>
          <w:bCs/>
          <w:color w:val="000000"/>
        </w:rPr>
      </w:pPr>
      <w:r w:rsidRPr="00FD74DC">
        <w:rPr>
          <w:bCs/>
          <w:color w:val="000000"/>
        </w:rPr>
        <w:t>Acute</w:t>
      </w:r>
      <w:r>
        <w:rPr>
          <w:bCs/>
          <w:color w:val="000000"/>
        </w:rPr>
        <w:t xml:space="preserve"> vaginitis</w:t>
      </w:r>
      <w:r w:rsidR="005175C1">
        <w:rPr>
          <w:bCs/>
          <w:color w:val="000000"/>
        </w:rPr>
        <w:t xml:space="preserve"> or vulvitis</w:t>
      </w:r>
      <w:r>
        <w:rPr>
          <w:bCs/>
          <w:color w:val="000000"/>
        </w:rPr>
        <w:t xml:space="preserve"> (≤ 4 episodes per year)</w:t>
      </w:r>
      <w:r w:rsidR="004D6A15">
        <w:rPr>
          <w:bCs/>
          <w:color w:val="000000"/>
        </w:rPr>
        <w:t>;</w:t>
      </w:r>
    </w:p>
    <w:p w14:paraId="2CF99EF6" w14:textId="77777777" w:rsidR="00DB7E95" w:rsidRPr="00DB7E95" w:rsidRDefault="004C70F6">
      <w:pPr>
        <w:numPr>
          <w:ilvl w:val="1"/>
          <w:numId w:val="9"/>
        </w:numPr>
        <w:ind w:left="720"/>
        <w:rPr>
          <w:bCs/>
          <w:color w:val="000000"/>
        </w:rPr>
      </w:pPr>
      <w:r>
        <w:rPr>
          <w:bCs/>
          <w:color w:val="000000"/>
        </w:rPr>
        <w:t xml:space="preserve">Gynecologic </w:t>
      </w:r>
      <w:r w:rsidR="008230C8">
        <w:rPr>
          <w:bCs/>
          <w:color w:val="000000"/>
        </w:rPr>
        <w:t xml:space="preserve">and obstetric </w:t>
      </w:r>
      <w:r>
        <w:rPr>
          <w:bCs/>
          <w:color w:val="000000"/>
        </w:rPr>
        <w:t xml:space="preserve">conditions </w:t>
      </w:r>
      <w:r w:rsidR="003364B8">
        <w:rPr>
          <w:bCs/>
          <w:color w:val="000000"/>
        </w:rPr>
        <w:t xml:space="preserve">triggered by </w:t>
      </w:r>
      <w:r w:rsidR="00E11B74">
        <w:rPr>
          <w:bCs/>
          <w:color w:val="000000"/>
        </w:rPr>
        <w:t>etiologies</w:t>
      </w:r>
      <w:r w:rsidR="003364B8">
        <w:rPr>
          <w:bCs/>
          <w:color w:val="000000"/>
        </w:rPr>
        <w:t xml:space="preserve"> other than </w:t>
      </w:r>
      <w:r w:rsidR="00007CB5">
        <w:rPr>
          <w:bCs/>
          <w:color w:val="000000"/>
        </w:rPr>
        <w:t xml:space="preserve">complicated vaginitis inducing </w:t>
      </w:r>
      <w:r w:rsidR="003364B8">
        <w:rPr>
          <w:bCs/>
          <w:color w:val="000000"/>
        </w:rPr>
        <w:t>mechanisms</w:t>
      </w:r>
      <w:r w:rsidR="00E11B74">
        <w:rPr>
          <w:bCs/>
          <w:color w:val="000000"/>
        </w:rPr>
        <w:t xml:space="preserve"> </w:t>
      </w:r>
      <w:r w:rsidR="003364B8">
        <w:rPr>
          <w:bCs/>
          <w:color w:val="000000"/>
        </w:rPr>
        <w:t>a</w:t>
      </w:r>
      <w:r w:rsidR="008230C8">
        <w:rPr>
          <w:bCs/>
          <w:color w:val="000000"/>
        </w:rPr>
        <w:t>s listed in Table 5</w:t>
      </w:r>
      <w:r w:rsidR="00AC267A">
        <w:rPr>
          <w:bCs/>
          <w:color w:val="000000"/>
        </w:rPr>
        <w:t>,</w:t>
      </w:r>
      <w:r w:rsidR="00F64CDE">
        <w:rPr>
          <w:bCs/>
          <w:color w:val="000000"/>
        </w:rPr>
        <w:t xml:space="preserve"> including:</w:t>
      </w:r>
    </w:p>
    <w:p w14:paraId="2CF99EF7" w14:textId="77777777" w:rsidR="008230C8" w:rsidRDefault="00B452D7" w:rsidP="002A0623">
      <w:pPr>
        <w:numPr>
          <w:ilvl w:val="3"/>
          <w:numId w:val="9"/>
        </w:numPr>
        <w:ind w:left="1080"/>
        <w:rPr>
          <w:bCs/>
          <w:color w:val="000000"/>
        </w:rPr>
      </w:pPr>
      <w:r>
        <w:rPr>
          <w:bCs/>
          <w:color w:val="000000"/>
        </w:rPr>
        <w:t>Urinary tract infections</w:t>
      </w:r>
      <w:r w:rsidR="004D6A15">
        <w:rPr>
          <w:bCs/>
          <w:color w:val="000000"/>
        </w:rPr>
        <w:t>;</w:t>
      </w:r>
    </w:p>
    <w:p w14:paraId="2CF99EF8" w14:textId="77777777" w:rsidR="007C1C03" w:rsidRDefault="00B452D7" w:rsidP="002A0623">
      <w:pPr>
        <w:numPr>
          <w:ilvl w:val="3"/>
          <w:numId w:val="9"/>
        </w:numPr>
        <w:ind w:left="1080"/>
        <w:rPr>
          <w:bCs/>
          <w:color w:val="000000"/>
        </w:rPr>
      </w:pPr>
      <w:r>
        <w:rPr>
          <w:bCs/>
          <w:color w:val="000000"/>
        </w:rPr>
        <w:t>Pelvic inflammatory disease</w:t>
      </w:r>
      <w:r w:rsidR="004D6A15">
        <w:rPr>
          <w:bCs/>
          <w:color w:val="000000"/>
        </w:rPr>
        <w:t>;</w:t>
      </w:r>
    </w:p>
    <w:p w14:paraId="2CF99EF9" w14:textId="77777777" w:rsidR="00B452D7" w:rsidRPr="00B452D7" w:rsidRDefault="00B452D7" w:rsidP="00B452D7">
      <w:pPr>
        <w:numPr>
          <w:ilvl w:val="3"/>
          <w:numId w:val="9"/>
        </w:numPr>
        <w:ind w:left="1080"/>
        <w:rPr>
          <w:bCs/>
          <w:color w:val="000000"/>
        </w:rPr>
      </w:pPr>
      <w:r>
        <w:rPr>
          <w:bCs/>
          <w:color w:val="000000"/>
        </w:rPr>
        <w:t>Inflammatory disorders of the vagina, vulva, and perineum</w:t>
      </w:r>
      <w:r w:rsidR="004D6A15">
        <w:rPr>
          <w:bCs/>
          <w:color w:val="000000"/>
        </w:rPr>
        <w:t>;</w:t>
      </w:r>
    </w:p>
    <w:p w14:paraId="2CF99EFA" w14:textId="77777777" w:rsidR="00B452D7" w:rsidRPr="00B452D7" w:rsidRDefault="00B452D7" w:rsidP="002A0623">
      <w:pPr>
        <w:numPr>
          <w:ilvl w:val="3"/>
          <w:numId w:val="9"/>
        </w:numPr>
        <w:ind w:left="1080"/>
        <w:rPr>
          <w:bCs/>
          <w:color w:val="000000"/>
        </w:rPr>
      </w:pPr>
      <w:r>
        <w:rPr>
          <w:bCs/>
          <w:color w:val="000000"/>
        </w:rPr>
        <w:t>Irre</w:t>
      </w:r>
      <w:r w:rsidRPr="00B452D7">
        <w:rPr>
          <w:bCs/>
          <w:color w:val="000000"/>
        </w:rPr>
        <w:t>gular menstruation</w:t>
      </w:r>
      <w:r>
        <w:rPr>
          <w:bCs/>
          <w:color w:val="000000"/>
        </w:rPr>
        <w:t xml:space="preserve"> or a</w:t>
      </w:r>
      <w:r w:rsidRPr="00B452D7">
        <w:rPr>
          <w:bCs/>
          <w:color w:val="000000"/>
        </w:rPr>
        <w:t>bnormal uterine and vaginal bleeding</w:t>
      </w:r>
      <w:r w:rsidR="004D6A15">
        <w:rPr>
          <w:bCs/>
          <w:color w:val="000000"/>
        </w:rPr>
        <w:t>;</w:t>
      </w:r>
    </w:p>
    <w:p w14:paraId="2CF99EFB" w14:textId="77777777" w:rsidR="00B452D7" w:rsidRDefault="00B452D7" w:rsidP="00B452D7">
      <w:pPr>
        <w:numPr>
          <w:ilvl w:val="3"/>
          <w:numId w:val="9"/>
        </w:numPr>
        <w:ind w:left="1080"/>
        <w:rPr>
          <w:bCs/>
          <w:color w:val="000000"/>
        </w:rPr>
      </w:pPr>
      <w:r w:rsidRPr="00B452D7">
        <w:rPr>
          <w:bCs/>
          <w:color w:val="000000"/>
        </w:rPr>
        <w:t>Dysmenorrhea</w:t>
      </w:r>
      <w:r w:rsidR="004D6A15">
        <w:rPr>
          <w:bCs/>
          <w:color w:val="000000"/>
        </w:rPr>
        <w:t>;</w:t>
      </w:r>
      <w:r w:rsidRPr="00B452D7">
        <w:rPr>
          <w:bCs/>
          <w:color w:val="000000"/>
        </w:rPr>
        <w:t xml:space="preserve"> </w:t>
      </w:r>
    </w:p>
    <w:p w14:paraId="2CF99EFC" w14:textId="77777777" w:rsidR="00B452D7" w:rsidRDefault="00B452D7" w:rsidP="00B452D7">
      <w:pPr>
        <w:numPr>
          <w:ilvl w:val="3"/>
          <w:numId w:val="9"/>
        </w:numPr>
        <w:ind w:left="1080"/>
        <w:rPr>
          <w:bCs/>
          <w:color w:val="000000"/>
        </w:rPr>
      </w:pPr>
      <w:r>
        <w:rPr>
          <w:bCs/>
          <w:color w:val="000000"/>
        </w:rPr>
        <w:t>Complications with pregnancy, including all of the following:</w:t>
      </w:r>
    </w:p>
    <w:p w14:paraId="2CF99EFD" w14:textId="77777777" w:rsidR="00B452D7" w:rsidRDefault="00B452D7" w:rsidP="002A0623">
      <w:pPr>
        <w:numPr>
          <w:ilvl w:val="4"/>
          <w:numId w:val="9"/>
        </w:numPr>
        <w:ind w:left="1440"/>
        <w:rPr>
          <w:bCs/>
          <w:color w:val="000000"/>
        </w:rPr>
      </w:pPr>
      <w:r>
        <w:rPr>
          <w:bCs/>
          <w:color w:val="000000"/>
        </w:rPr>
        <w:t>Pre-term labor</w:t>
      </w:r>
      <w:r w:rsidR="004D6A15">
        <w:rPr>
          <w:bCs/>
          <w:color w:val="000000"/>
        </w:rPr>
        <w:t>;</w:t>
      </w:r>
    </w:p>
    <w:p w14:paraId="2CF99EFE" w14:textId="77777777" w:rsidR="00B452D7" w:rsidRDefault="00B452D7" w:rsidP="002A0623">
      <w:pPr>
        <w:numPr>
          <w:ilvl w:val="4"/>
          <w:numId w:val="9"/>
        </w:numPr>
        <w:ind w:left="1440"/>
        <w:rPr>
          <w:bCs/>
          <w:color w:val="000000"/>
        </w:rPr>
      </w:pPr>
      <w:r>
        <w:rPr>
          <w:bCs/>
          <w:color w:val="000000"/>
        </w:rPr>
        <w:lastRenderedPageBreak/>
        <w:t>Ectopic pregnancy</w:t>
      </w:r>
      <w:r w:rsidR="004D6A15">
        <w:rPr>
          <w:bCs/>
          <w:color w:val="000000"/>
        </w:rPr>
        <w:t>;</w:t>
      </w:r>
    </w:p>
    <w:p w14:paraId="2CF99EFF" w14:textId="77777777" w:rsidR="009717B6" w:rsidRPr="005175C1" w:rsidRDefault="00B452D7" w:rsidP="005175C1">
      <w:pPr>
        <w:numPr>
          <w:ilvl w:val="4"/>
          <w:numId w:val="9"/>
        </w:numPr>
        <w:ind w:left="1440"/>
        <w:rPr>
          <w:bCs/>
          <w:color w:val="000000"/>
        </w:rPr>
      </w:pPr>
      <w:r>
        <w:rPr>
          <w:bCs/>
          <w:color w:val="000000"/>
        </w:rPr>
        <w:t>High risk pregnancy</w:t>
      </w:r>
      <w:r w:rsidR="005175C1">
        <w:rPr>
          <w:bCs/>
          <w:color w:val="000000"/>
        </w:rPr>
        <w:t>.</w:t>
      </w:r>
    </w:p>
    <w:p w14:paraId="2CF99F00" w14:textId="77777777" w:rsidR="004D6A15" w:rsidRPr="00B452D7" w:rsidRDefault="004D6A15" w:rsidP="002A0623">
      <w:pPr>
        <w:ind w:left="1080"/>
        <w:rPr>
          <w:bCs/>
          <w:color w:val="000000"/>
        </w:rPr>
      </w:pPr>
    </w:p>
    <w:p w14:paraId="2CF99F01" w14:textId="77777777" w:rsidR="00FB0592" w:rsidRDefault="00FB0592" w:rsidP="00FB0592">
      <w:pPr>
        <w:pStyle w:val="Heading2"/>
        <w:rPr>
          <w:u w:val="none"/>
        </w:rPr>
      </w:pPr>
      <w:r w:rsidRPr="00B777AF">
        <w:rPr>
          <w:u w:val="none"/>
        </w:rPr>
        <w:t>Background</w:t>
      </w:r>
    </w:p>
    <w:p w14:paraId="2CF99F02" w14:textId="77777777" w:rsidR="00353163" w:rsidRPr="008F51D6" w:rsidRDefault="00353163" w:rsidP="00353163">
      <w:r w:rsidRPr="008F51D6">
        <w:t xml:space="preserve">The 3 diseases most frequently associated with vaginitis are </w:t>
      </w:r>
      <w:r w:rsidR="00EF6CBF">
        <w:t>BV</w:t>
      </w:r>
      <w:r w:rsidRPr="008F51D6">
        <w:t xml:space="preserve">, (caused by replacement of the vaginal flora by an overgrowth of anaerobic bacteria, including </w:t>
      </w:r>
      <w:r w:rsidRPr="008F51D6">
        <w:rPr>
          <w:i/>
        </w:rPr>
        <w:t>Prevotella</w:t>
      </w:r>
      <w:r w:rsidRPr="008F51D6">
        <w:t xml:space="preserve"> sp., </w:t>
      </w:r>
      <w:r w:rsidRPr="008F51D6">
        <w:rPr>
          <w:i/>
        </w:rPr>
        <w:t>Mobiluncus</w:t>
      </w:r>
      <w:r w:rsidRPr="008F51D6">
        <w:t xml:space="preserve"> sp., </w:t>
      </w:r>
      <w:r w:rsidRPr="008F51D6">
        <w:rPr>
          <w:i/>
        </w:rPr>
        <w:t>Gardnerella vaginalis</w:t>
      </w:r>
      <w:r w:rsidRPr="008F51D6">
        <w:t xml:space="preserve">, </w:t>
      </w:r>
      <w:r w:rsidRPr="008F51D6">
        <w:rPr>
          <w:i/>
        </w:rPr>
        <w:t>Ureaplasma</w:t>
      </w:r>
      <w:r w:rsidRPr="008F51D6">
        <w:t xml:space="preserve">, </w:t>
      </w:r>
      <w:r w:rsidRPr="008F51D6">
        <w:rPr>
          <w:i/>
        </w:rPr>
        <w:t>Mycoplasma</w:t>
      </w:r>
      <w:r w:rsidRPr="008F51D6">
        <w:t xml:space="preserve">, and numerous fastidious or uncultivated anaerobes), trichomoniasis (caused by </w:t>
      </w:r>
      <w:r w:rsidRPr="008F51D6">
        <w:rPr>
          <w:i/>
        </w:rPr>
        <w:t>Trichomonas vaginalis</w:t>
      </w:r>
      <w:r w:rsidRPr="008F51D6">
        <w:t xml:space="preserve">), and candidiasis (usually caused by </w:t>
      </w:r>
      <w:r w:rsidRPr="008F51D6">
        <w:rPr>
          <w:i/>
        </w:rPr>
        <w:t>Candida albicans</w:t>
      </w:r>
      <w:r w:rsidRPr="008F51D6">
        <w:t>).</w:t>
      </w:r>
      <w:r w:rsidRPr="008F51D6">
        <w:rPr>
          <w:vertAlign w:val="superscript"/>
        </w:rPr>
        <w:t xml:space="preserve"> </w:t>
      </w:r>
      <w:r w:rsidR="00A72DB6">
        <w:rPr>
          <w:vertAlign w:val="superscript"/>
        </w:rPr>
        <w:t>3</w:t>
      </w:r>
    </w:p>
    <w:p w14:paraId="2CF99F03" w14:textId="77777777" w:rsidR="00353163" w:rsidRPr="008F51D6" w:rsidRDefault="00353163" w:rsidP="00353163"/>
    <w:p w14:paraId="2CF99F04" w14:textId="77777777" w:rsidR="00353163" w:rsidRPr="008F51D6" w:rsidRDefault="00353163" w:rsidP="00353163">
      <w:r w:rsidRPr="008F51D6">
        <w:t xml:space="preserve">Various diagnostic methods are available to identify the etiology of the signs and symptoms of vaginitis. </w:t>
      </w:r>
      <w:r>
        <w:t>T</w:t>
      </w:r>
      <w:r w:rsidRPr="008F51D6">
        <w:t>he cause of vaginal symptoms might be determined by testing of pH, for the presence of amines by the use of a potassium hydroxide (KOH) test, and microscopic examination of fresh samples of the discharge. The pH of the vaginal secretions can be determined by narrow-range pH paper; an elevated pH (</w:t>
      </w:r>
      <w:r w:rsidRPr="008F51D6">
        <w:rPr>
          <w:i/>
        </w:rPr>
        <w:t xml:space="preserve">i.e., </w:t>
      </w:r>
      <w:r w:rsidRPr="00700B1E">
        <w:t>&gt;</w:t>
      </w:r>
      <w:r w:rsidRPr="008F51D6">
        <w:t xml:space="preserve">4.5) is common with BV or trichomonas. Because pH testing is not highly specific, the discharge should be further examined microscopically </w:t>
      </w:r>
      <w:r w:rsidR="00E5161C">
        <w:t xml:space="preserve">with both a </w:t>
      </w:r>
      <w:r w:rsidRPr="008F51D6">
        <w:t xml:space="preserve">saline </w:t>
      </w:r>
      <w:r w:rsidR="00E5161C">
        <w:t>and KOH solution</w:t>
      </w:r>
      <w:r w:rsidRPr="008F51D6">
        <w:t xml:space="preserve">. </w:t>
      </w:r>
      <w:r w:rsidRPr="008F51D6">
        <w:rPr>
          <w:vertAlign w:val="superscript"/>
        </w:rPr>
        <w:t>3</w:t>
      </w:r>
    </w:p>
    <w:p w14:paraId="2CF99F05" w14:textId="77777777" w:rsidR="00353163" w:rsidRPr="008F51D6" w:rsidRDefault="00353163" w:rsidP="00353163"/>
    <w:p w14:paraId="2CF99F06" w14:textId="77777777" w:rsidR="00353163" w:rsidRPr="008F51D6" w:rsidRDefault="00353163" w:rsidP="00353163">
      <w:r w:rsidRPr="008F51D6">
        <w:t xml:space="preserve">The saline-solution specimen might yield motile </w:t>
      </w:r>
      <w:r w:rsidRPr="008F51D6">
        <w:rPr>
          <w:i/>
        </w:rPr>
        <w:t>T. vaginalis</w:t>
      </w:r>
      <w:r w:rsidRPr="008F51D6">
        <w:t xml:space="preserve"> or clue cells (</w:t>
      </w:r>
      <w:r w:rsidRPr="008F51D6">
        <w:rPr>
          <w:i/>
        </w:rPr>
        <w:t xml:space="preserve">i.e., </w:t>
      </w:r>
      <w:r w:rsidRPr="008F51D6">
        <w:t>epithelial cells with borders obscured by small bacteria), which are characteristic of BV, whereas the presence of white blood cell</w:t>
      </w:r>
      <w:r w:rsidR="00B119F6">
        <w:t>s</w:t>
      </w:r>
      <w:r w:rsidRPr="008F51D6">
        <w:t xml:space="preserve"> without evidence of trichomonads or yeast in this solution is suggestive of cervicitis.  The KOH specimen typically is used to identify the yeast or pseudohyphae of </w:t>
      </w:r>
      <w:r w:rsidRPr="008F51D6">
        <w:rPr>
          <w:i/>
        </w:rPr>
        <w:t>Candida</w:t>
      </w:r>
      <w:r w:rsidRPr="008F51D6">
        <w:t xml:space="preserve"> species. However, the absence of trichomonads or pseudohyphae in KOH samples does not rule out these infections, because the sensitivity of micr</w:t>
      </w:r>
      <w:r w:rsidR="00B119F6">
        <w:t>oscopy is approximately 40-75%.</w:t>
      </w:r>
      <w:r w:rsidRPr="008F51D6">
        <w:rPr>
          <w:vertAlign w:val="superscript"/>
        </w:rPr>
        <w:t>4</w:t>
      </w:r>
    </w:p>
    <w:p w14:paraId="2CF99F07" w14:textId="77777777" w:rsidR="00353163" w:rsidRPr="008F51D6" w:rsidRDefault="00353163" w:rsidP="00353163"/>
    <w:p w14:paraId="2CF99F08" w14:textId="77777777" w:rsidR="00353163" w:rsidRPr="008F51D6" w:rsidRDefault="00353163" w:rsidP="00353163">
      <w:r w:rsidRPr="008F51D6">
        <w:t>In settings where pH paper, KOH, and microscopy are not available or are inconclusive, alternative</w:t>
      </w:r>
      <w:r w:rsidR="00AC267A">
        <w:t>,</w:t>
      </w:r>
      <w:r w:rsidRPr="008F51D6">
        <w:t xml:space="preserve"> commercially available</w:t>
      </w:r>
      <w:r w:rsidR="00AC267A">
        <w:t>,</w:t>
      </w:r>
      <w:r w:rsidRPr="008F51D6">
        <w:t xml:space="preserve"> point-of-care tests, such as commercially available direct DNA-probe tests, or clinical laboratory testing, can be used to diagnose vaginitis. The presence of objective signs of vulvar inflammation in the absence of vaginal pathogens after laboratory testing, along with a minimal amount of discharge, suggests the possibility of mechanical, chemical, allergic, or other noninfectious irritation of the vulva.</w:t>
      </w:r>
      <w:r w:rsidR="00906CD9">
        <w:t xml:space="preserve"> </w:t>
      </w:r>
      <w:r w:rsidR="00906CD9" w:rsidRPr="000530DC">
        <w:rPr>
          <w:vertAlign w:val="superscript"/>
        </w:rPr>
        <w:t>5</w:t>
      </w:r>
    </w:p>
    <w:p w14:paraId="2CF99F09" w14:textId="77777777" w:rsidR="00353163" w:rsidRPr="008F51D6" w:rsidRDefault="00353163" w:rsidP="00353163"/>
    <w:p w14:paraId="2CF99F0A" w14:textId="77777777" w:rsidR="00353163" w:rsidRPr="00E5161C" w:rsidRDefault="00353163" w:rsidP="00353163">
      <w:pPr>
        <w:rPr>
          <w:i/>
        </w:rPr>
      </w:pPr>
      <w:r w:rsidRPr="00E5161C">
        <w:rPr>
          <w:i/>
        </w:rPr>
        <w:t xml:space="preserve">Bacterial Vaginosis </w:t>
      </w:r>
    </w:p>
    <w:p w14:paraId="2CF99F0B" w14:textId="77777777" w:rsidR="00353163" w:rsidRPr="008F51D6" w:rsidRDefault="00353163" w:rsidP="00353163">
      <w:r w:rsidRPr="008F51D6">
        <w:t xml:space="preserve">BV is a polymicrobial clinical syndrome resulting from replacement of the normal hydrogen peroxide-producing </w:t>
      </w:r>
      <w:r w:rsidRPr="008F51D6">
        <w:rPr>
          <w:i/>
        </w:rPr>
        <w:t>Lactobacillus</w:t>
      </w:r>
      <w:r w:rsidRPr="008F51D6">
        <w:t xml:space="preserve"> species in the vagina with high concentrations of anaerobic bacteria (</w:t>
      </w:r>
      <w:r w:rsidRPr="008F51D6">
        <w:rPr>
          <w:i/>
        </w:rPr>
        <w:t>e.g.,</w:t>
      </w:r>
      <w:r w:rsidRPr="008F51D6">
        <w:t xml:space="preserve"> </w:t>
      </w:r>
      <w:r w:rsidRPr="008F51D6">
        <w:rPr>
          <w:i/>
        </w:rPr>
        <w:t>Prevotella</w:t>
      </w:r>
      <w:r w:rsidRPr="008F51D6">
        <w:t xml:space="preserve"> sp. and </w:t>
      </w:r>
      <w:r w:rsidRPr="008F51D6">
        <w:rPr>
          <w:i/>
        </w:rPr>
        <w:t>Mobiluncus</w:t>
      </w:r>
      <w:r w:rsidRPr="008F51D6">
        <w:t xml:space="preserve"> sp.), </w:t>
      </w:r>
      <w:r w:rsidRPr="008F51D6">
        <w:rPr>
          <w:i/>
        </w:rPr>
        <w:t>G. vaginalis</w:t>
      </w:r>
      <w:r w:rsidRPr="008F51D6">
        <w:t xml:space="preserve">, </w:t>
      </w:r>
      <w:r w:rsidRPr="008F51D6">
        <w:rPr>
          <w:i/>
        </w:rPr>
        <w:t>Ureaplasma</w:t>
      </w:r>
      <w:r w:rsidRPr="008F51D6">
        <w:t xml:space="preserve">, </w:t>
      </w:r>
      <w:r w:rsidRPr="008F51D6">
        <w:rPr>
          <w:i/>
        </w:rPr>
        <w:t>Mycoplasma</w:t>
      </w:r>
      <w:r w:rsidRPr="008F51D6">
        <w:t xml:space="preserve">, and numerous fastidious or uncultivated anaerobes. BV is the most prevalent cause of vaginal discharge or malodor; however, in a nationally representative survey, most women with BV were asymptomatic. </w:t>
      </w:r>
      <w:r w:rsidRPr="008F51D6">
        <w:rPr>
          <w:vertAlign w:val="superscript"/>
        </w:rPr>
        <w:t>3</w:t>
      </w:r>
    </w:p>
    <w:p w14:paraId="2CF99F0C" w14:textId="77777777" w:rsidR="00353163" w:rsidRPr="008F51D6" w:rsidRDefault="00353163" w:rsidP="00353163">
      <w:pPr>
        <w:rPr>
          <w:b/>
          <w:color w:val="002868"/>
        </w:rPr>
      </w:pPr>
    </w:p>
    <w:p w14:paraId="2CF99F0D" w14:textId="77777777" w:rsidR="00353163" w:rsidRPr="008F51D6" w:rsidRDefault="00353163" w:rsidP="00353163">
      <w:r w:rsidRPr="008F51D6">
        <w:t>BV can be diagnosed by the use of clinical criteria (</w:t>
      </w:r>
      <w:r w:rsidRPr="008F51D6">
        <w:rPr>
          <w:i/>
        </w:rPr>
        <w:t xml:space="preserve">i.e., </w:t>
      </w:r>
      <w:r w:rsidRPr="008F51D6">
        <w:t>Amsel's Diagnostic Criteria) or Gram stain (considered the gold standard laboratory method for diagnosing BV). If a Gram stain is not available, clinical criteria can be used and require 3 of the following symptoms or signs:</w:t>
      </w:r>
    </w:p>
    <w:p w14:paraId="2CF99F0E" w14:textId="77777777" w:rsidR="00353163" w:rsidRPr="008F51D6" w:rsidRDefault="00353163" w:rsidP="00353163">
      <w:pPr>
        <w:pStyle w:val="ListParagraph"/>
        <w:numPr>
          <w:ilvl w:val="0"/>
          <w:numId w:val="10"/>
        </w:numPr>
        <w:spacing w:after="0" w:line="240" w:lineRule="auto"/>
        <w:rPr>
          <w:rFonts w:ascii="Times New Roman" w:hAnsi="Times New Roman"/>
          <w:sz w:val="24"/>
          <w:szCs w:val="24"/>
        </w:rPr>
      </w:pPr>
      <w:r w:rsidRPr="008F51D6">
        <w:rPr>
          <w:rFonts w:ascii="Times New Roman" w:hAnsi="Times New Roman"/>
          <w:sz w:val="24"/>
          <w:szCs w:val="24"/>
        </w:rPr>
        <w:t>Homogeneous, thin, white discharge that smoothly coats the vaginal walls;</w:t>
      </w:r>
      <w:r w:rsidR="00E1777D">
        <w:rPr>
          <w:rFonts w:ascii="Times New Roman" w:hAnsi="Times New Roman"/>
          <w:sz w:val="24"/>
          <w:szCs w:val="24"/>
        </w:rPr>
        <w:t xml:space="preserve"> </w:t>
      </w:r>
    </w:p>
    <w:p w14:paraId="2CF99F0F" w14:textId="77777777" w:rsidR="00353163" w:rsidRPr="008F51D6" w:rsidRDefault="00353163" w:rsidP="00353163">
      <w:pPr>
        <w:pStyle w:val="ListParagraph"/>
        <w:numPr>
          <w:ilvl w:val="0"/>
          <w:numId w:val="10"/>
        </w:numPr>
        <w:spacing w:after="0" w:line="240" w:lineRule="auto"/>
        <w:rPr>
          <w:rFonts w:ascii="Times New Roman" w:hAnsi="Times New Roman"/>
          <w:sz w:val="24"/>
          <w:szCs w:val="24"/>
        </w:rPr>
      </w:pPr>
      <w:r w:rsidRPr="008F51D6">
        <w:rPr>
          <w:rFonts w:ascii="Times New Roman" w:hAnsi="Times New Roman"/>
          <w:sz w:val="24"/>
          <w:szCs w:val="24"/>
        </w:rPr>
        <w:t>Presence of clue cells on microscopic examination;</w:t>
      </w:r>
    </w:p>
    <w:p w14:paraId="2CF99F10" w14:textId="14978841" w:rsidR="00AC267A" w:rsidRDefault="00353163" w:rsidP="00AC267A">
      <w:pPr>
        <w:pStyle w:val="ListParagraph"/>
        <w:numPr>
          <w:ilvl w:val="0"/>
          <w:numId w:val="10"/>
        </w:numPr>
        <w:spacing w:after="0" w:line="240" w:lineRule="auto"/>
        <w:rPr>
          <w:rFonts w:ascii="Times New Roman" w:hAnsi="Times New Roman"/>
          <w:sz w:val="24"/>
          <w:szCs w:val="24"/>
        </w:rPr>
      </w:pPr>
      <w:r w:rsidRPr="008F51D6">
        <w:rPr>
          <w:rFonts w:ascii="Times New Roman" w:hAnsi="Times New Roman"/>
          <w:sz w:val="24"/>
          <w:szCs w:val="24"/>
        </w:rPr>
        <w:t xml:space="preserve">pH of vaginal fluid &gt;4.5; </w:t>
      </w:r>
    </w:p>
    <w:p w14:paraId="2CF99F11" w14:textId="77777777" w:rsidR="00353163" w:rsidRPr="00AC267A" w:rsidRDefault="00353163" w:rsidP="00AC267A">
      <w:pPr>
        <w:pStyle w:val="ListParagraph"/>
        <w:numPr>
          <w:ilvl w:val="0"/>
          <w:numId w:val="10"/>
        </w:numPr>
        <w:spacing w:after="0" w:line="240" w:lineRule="auto"/>
        <w:rPr>
          <w:rFonts w:ascii="Times New Roman" w:hAnsi="Times New Roman"/>
          <w:sz w:val="24"/>
          <w:szCs w:val="24"/>
        </w:rPr>
      </w:pPr>
      <w:r w:rsidRPr="00AC267A">
        <w:rPr>
          <w:rFonts w:ascii="Times New Roman" w:hAnsi="Times New Roman"/>
          <w:sz w:val="24"/>
          <w:szCs w:val="24"/>
        </w:rPr>
        <w:lastRenderedPageBreak/>
        <w:t>A fishy odor of vaginal discharge before or after addition of 10% KOH (</w:t>
      </w:r>
      <w:r w:rsidRPr="00AC267A">
        <w:rPr>
          <w:rFonts w:ascii="Times New Roman" w:hAnsi="Times New Roman"/>
          <w:i/>
          <w:sz w:val="24"/>
          <w:szCs w:val="24"/>
        </w:rPr>
        <w:t xml:space="preserve">i.e., </w:t>
      </w:r>
      <w:r w:rsidRPr="00AC267A">
        <w:rPr>
          <w:rFonts w:ascii="Times New Roman" w:hAnsi="Times New Roman"/>
          <w:sz w:val="24"/>
          <w:szCs w:val="24"/>
        </w:rPr>
        <w:t>the whiff test).</w:t>
      </w:r>
      <w:r w:rsidR="00E1777D" w:rsidRPr="00AC267A">
        <w:rPr>
          <w:rFonts w:ascii="Times New Roman" w:hAnsi="Times New Roman"/>
          <w:sz w:val="24"/>
          <w:szCs w:val="24"/>
        </w:rPr>
        <w:t xml:space="preserve"> </w:t>
      </w:r>
      <w:r w:rsidR="00530607" w:rsidRPr="00AC267A">
        <w:rPr>
          <w:rFonts w:ascii="Times New Roman" w:hAnsi="Times New Roman"/>
          <w:sz w:val="24"/>
          <w:szCs w:val="24"/>
          <w:vertAlign w:val="superscript"/>
        </w:rPr>
        <w:t>8</w:t>
      </w:r>
    </w:p>
    <w:p w14:paraId="2CF99F12" w14:textId="77777777" w:rsidR="00353163" w:rsidRPr="008F51D6" w:rsidRDefault="00353163" w:rsidP="00353163"/>
    <w:p w14:paraId="2CF99F13" w14:textId="77777777" w:rsidR="00353163" w:rsidRPr="000530DC" w:rsidRDefault="00353163" w:rsidP="00353163">
      <w:pPr>
        <w:rPr>
          <w:sz w:val="20"/>
          <w:szCs w:val="20"/>
          <w:vertAlign w:val="superscript"/>
        </w:rPr>
      </w:pPr>
      <w:r w:rsidRPr="008F51D6">
        <w:t xml:space="preserve">Detection of 3 of these criteria has been correlated with results by Gram stain. Other tests, including a </w:t>
      </w:r>
      <w:r w:rsidR="00AC267A">
        <w:t>DNA</w:t>
      </w:r>
      <w:r w:rsidRPr="008F51D6">
        <w:t xml:space="preserve"> probe-based test for high concentrations of </w:t>
      </w:r>
      <w:r w:rsidRPr="008F51D6">
        <w:rPr>
          <w:i/>
        </w:rPr>
        <w:t>G. vaginalis</w:t>
      </w:r>
      <w:r w:rsidRPr="008F51D6">
        <w:t xml:space="preserve"> (Affirm VP III, Becton Dickinson, Sparks, Maryland), and the OSOM BVBlue test have acceptable performance characteristics compared with Gram stain. </w:t>
      </w:r>
      <w:r w:rsidRPr="008F51D6">
        <w:rPr>
          <w:vertAlign w:val="superscript"/>
        </w:rPr>
        <w:t>3</w:t>
      </w:r>
      <w:r w:rsidRPr="008F51D6">
        <w:t xml:space="preserve"> The BVBlue test is a </w:t>
      </w:r>
      <w:r w:rsidR="001D5147">
        <w:rPr>
          <w:szCs w:val="26"/>
          <w:shd w:val="clear" w:color="auto" w:fill="FFFFFF"/>
        </w:rPr>
        <w:t>colorimetric test</w:t>
      </w:r>
      <w:r w:rsidRPr="008F51D6">
        <w:rPr>
          <w:szCs w:val="26"/>
          <w:shd w:val="clear" w:color="auto" w:fill="FFFFFF"/>
        </w:rPr>
        <w:t xml:space="preserve"> for enzymes (sialidase) produced by BV organisms.</w:t>
      </w:r>
      <w:r w:rsidRPr="008F51D6">
        <w:rPr>
          <w:sz w:val="20"/>
          <w:szCs w:val="20"/>
        </w:rPr>
        <w:t xml:space="preserve">  </w:t>
      </w:r>
      <w:r w:rsidRPr="008F51D6">
        <w:t xml:space="preserve">Culture of </w:t>
      </w:r>
      <w:r w:rsidRPr="008F51D6">
        <w:rPr>
          <w:i/>
        </w:rPr>
        <w:t>G. vaginalis</w:t>
      </w:r>
      <w:r w:rsidRPr="008F51D6">
        <w:t xml:space="preserve"> is not recommended as a diagnostic tool, because 50% of women in the general population will culture positively for </w:t>
      </w:r>
      <w:r w:rsidRPr="008F51D6">
        <w:rPr>
          <w:i/>
        </w:rPr>
        <w:t>G. vaginalis</w:t>
      </w:r>
      <w:r w:rsidRPr="008F51D6">
        <w:t>.</w:t>
      </w:r>
      <w:r w:rsidR="006711E3">
        <w:t xml:space="preserve"> Use of the proline-aminopeptidase test card (Pip Activity TestCard) is no longer recommended because of low sensitivity and specificity. </w:t>
      </w:r>
      <w:r w:rsidR="00530607">
        <w:rPr>
          <w:vertAlign w:val="superscript"/>
        </w:rPr>
        <w:t>8</w:t>
      </w:r>
    </w:p>
    <w:p w14:paraId="2CF99F14" w14:textId="77777777" w:rsidR="00353163" w:rsidRPr="008F51D6" w:rsidRDefault="00353163" w:rsidP="00353163">
      <w:pPr>
        <w:rPr>
          <w:b/>
          <w:color w:val="002868"/>
        </w:rPr>
      </w:pPr>
    </w:p>
    <w:p w14:paraId="2CF99F1C" w14:textId="77777777" w:rsidR="00353163" w:rsidRPr="00026124" w:rsidRDefault="00026124" w:rsidP="00353163">
      <w:pPr>
        <w:rPr>
          <w:i/>
        </w:rPr>
      </w:pPr>
      <w:r>
        <w:rPr>
          <w:i/>
        </w:rPr>
        <w:t>Vulvovaginal Candidiasis</w:t>
      </w:r>
    </w:p>
    <w:p w14:paraId="2CF99F1D" w14:textId="77777777" w:rsidR="00353163" w:rsidRPr="00026124" w:rsidRDefault="00026124" w:rsidP="00353163">
      <w:pPr>
        <w:rPr>
          <w:i/>
        </w:rPr>
      </w:pPr>
      <w:r>
        <w:t>Vulvovaginal c</w:t>
      </w:r>
      <w:r w:rsidRPr="00026124">
        <w:t>andidiasis (VVC)</w:t>
      </w:r>
      <w:r w:rsidR="00353163" w:rsidRPr="008F51D6">
        <w:t xml:space="preserve"> usually is caused by </w:t>
      </w:r>
      <w:r w:rsidR="00353163" w:rsidRPr="008F51D6">
        <w:rPr>
          <w:i/>
        </w:rPr>
        <w:t>C. albicans</w:t>
      </w:r>
      <w:r w:rsidR="00353163" w:rsidRPr="008F51D6">
        <w:t xml:space="preserve">, but occasionally is caused by other </w:t>
      </w:r>
      <w:r w:rsidR="00353163" w:rsidRPr="008F51D6">
        <w:rPr>
          <w:i/>
        </w:rPr>
        <w:t>Candida</w:t>
      </w:r>
      <w:r w:rsidR="00353163" w:rsidRPr="008F51D6">
        <w:t xml:space="preserve"> species or yeasts. Typical symptoms of VVC include pruritus, vaginal soreness, dyspareunia, external dysuria, and abnormal vaginal discharge. None of these symptoms is specific for VVC. An estimated 75% of women will have at least 1 episode of VVC, and 40%–45% will have 2 or more episodes within their lifetime. On the basis of clinical presentation, microbiology, host factors, and response to therapy, VVC can be classified as either uncomplicated or complicated. </w:t>
      </w:r>
      <w:r w:rsidR="00353163" w:rsidRPr="008F51D6">
        <w:rPr>
          <w:vertAlign w:val="superscript"/>
        </w:rPr>
        <w:t>3</w:t>
      </w:r>
    </w:p>
    <w:p w14:paraId="2CF99F1E" w14:textId="77777777" w:rsidR="00353163" w:rsidRPr="008F51D6" w:rsidRDefault="00353163" w:rsidP="00353163">
      <w:pPr>
        <w:rPr>
          <w:b/>
          <w:color w:val="002868"/>
        </w:rPr>
      </w:pPr>
    </w:p>
    <w:p w14:paraId="2CF99F1F" w14:textId="6762E264" w:rsidR="00353163" w:rsidRPr="008F51D6" w:rsidRDefault="00353163" w:rsidP="00353163">
      <w:r w:rsidRPr="008F51D6">
        <w:t xml:space="preserve">A diagnosis of </w:t>
      </w:r>
      <w:r w:rsidRPr="008F51D6">
        <w:rPr>
          <w:i/>
        </w:rPr>
        <w:t>Candida</w:t>
      </w:r>
      <w:r w:rsidRPr="008F51D6">
        <w:t xml:space="preserve"> vaginitis is suggested clinically by the presence of external dysuria and vulvar pruritus, pain, swelling, and redness. Signs include vulvar edema, fissures, excoriations, or thick, curdy vaginal discharge. The diagnosis can be made in a woman who has signs and symptoms of vaginitis when either 1) a wet preparation (saline, 10% KOH) or Gram stain of vaginal discharge demonstrates yeasts, hyphae, or pseudohyphae or 2) a culture or other test yields a yeast species. </w:t>
      </w:r>
      <w:r w:rsidRPr="008F51D6">
        <w:rPr>
          <w:i/>
        </w:rPr>
        <w:t>Candida</w:t>
      </w:r>
      <w:r w:rsidRPr="008F51D6">
        <w:t xml:space="preserve"> vaginitis is associated with a normal vaginal pH (&lt;4.5), and therefore, pH testing is not a useful diagnostic tool. Use of 10% KOH in wet preparations improves the visualization of yeast and mycelia by disrupting cellular material that might obscure the yeast or pseudohyphae. Examination of a wet mount with KOH preparation should be performed for all women with symptoms or signs of VVC, and women with a positive result should receive treatment. For women with negative wet mounts who are symptomatic, vaginal cultures for </w:t>
      </w:r>
      <w:r w:rsidRPr="008F51D6">
        <w:rPr>
          <w:i/>
        </w:rPr>
        <w:t>Candida</w:t>
      </w:r>
      <w:r w:rsidRPr="008F51D6">
        <w:t xml:space="preserve"> should be considered. If the wet mount is negative and </w:t>
      </w:r>
      <w:r w:rsidRPr="008F51D6">
        <w:rPr>
          <w:i/>
        </w:rPr>
        <w:t>Candida</w:t>
      </w:r>
      <w:r w:rsidRPr="008F51D6">
        <w:t xml:space="preserve"> cultures cannot be done, empiric treatment can be considered for symptomatic women with any sign of VVC on examination. Identifying </w:t>
      </w:r>
      <w:r w:rsidRPr="008F51D6">
        <w:rPr>
          <w:i/>
        </w:rPr>
        <w:t>Candida</w:t>
      </w:r>
      <w:r w:rsidRPr="008F51D6">
        <w:t xml:space="preserve"> by culture in the absence of symptoms or signs is not an indication for treatment because approximately 10%-20% of women harbor </w:t>
      </w:r>
      <w:r w:rsidRPr="008F51D6">
        <w:rPr>
          <w:i/>
        </w:rPr>
        <w:t>Candida</w:t>
      </w:r>
      <w:r w:rsidRPr="008F51D6">
        <w:t xml:space="preserve"> species and other yeasts in the vagina. VVC can occur concomitantly with </w:t>
      </w:r>
      <w:r w:rsidR="00357BDE">
        <w:t>STIs</w:t>
      </w:r>
      <w:r w:rsidRPr="008F51D6">
        <w:t xml:space="preserve">. Most healthy women with uncomplicated VVC have no identifiable precipitating factors. </w:t>
      </w:r>
      <w:r w:rsidRPr="008F51D6">
        <w:rPr>
          <w:vertAlign w:val="superscript"/>
        </w:rPr>
        <w:t>3</w:t>
      </w:r>
    </w:p>
    <w:p w14:paraId="2CF99F20" w14:textId="77777777" w:rsidR="00353163" w:rsidRPr="008F51D6" w:rsidRDefault="00353163" w:rsidP="00353163"/>
    <w:p w14:paraId="2CF99F21" w14:textId="77777777" w:rsidR="00353163" w:rsidRDefault="00353163" w:rsidP="00353163">
      <w:pPr>
        <w:rPr>
          <w:vertAlign w:val="superscript"/>
        </w:rPr>
      </w:pPr>
      <w:r w:rsidRPr="008F51D6">
        <w:t xml:space="preserve">Complicated or recurrent vulvovaginal candidiasis (RVVC) is usually defined as 4 or more episodes of symptomatic VVC in 1 year, and affects a small percentage of women (&lt;5%). The pathogenesis of RVVC is poorly understood, and most women with RVVC have no apparent predisposing or underlying conditions. Vaginal cultures should be obtained from patients with RVVC to confirm the clinical diagnosis and to identify unusual species (including nonalbicans species), particularly </w:t>
      </w:r>
      <w:r w:rsidRPr="008F51D6">
        <w:rPr>
          <w:i/>
        </w:rPr>
        <w:t>Candida glabrata</w:t>
      </w:r>
      <w:r w:rsidRPr="008F51D6">
        <w:t xml:space="preserve">.  Although </w:t>
      </w:r>
      <w:r w:rsidRPr="008F51D6">
        <w:rPr>
          <w:i/>
        </w:rPr>
        <w:t>C. glabrata</w:t>
      </w:r>
      <w:r w:rsidRPr="008F51D6">
        <w:t xml:space="preserve"> and other nonalbicans </w:t>
      </w:r>
      <w:r w:rsidRPr="008F51D6">
        <w:rPr>
          <w:i/>
        </w:rPr>
        <w:t>Candida</w:t>
      </w:r>
      <w:r w:rsidRPr="008F51D6">
        <w:t xml:space="preserve"> species are observed in 10%-20% of patients with RVVC, </w:t>
      </w:r>
      <w:r w:rsidRPr="008F51D6">
        <w:rPr>
          <w:i/>
        </w:rPr>
        <w:t xml:space="preserve">C. glabrata </w:t>
      </w:r>
      <w:r w:rsidRPr="008F51D6">
        <w:t xml:space="preserve">does not form pseudohyphae or hyphae and is not easily recognized on microscopy. </w:t>
      </w:r>
      <w:r w:rsidRPr="008F51D6">
        <w:rPr>
          <w:vertAlign w:val="superscript"/>
        </w:rPr>
        <w:t>3</w:t>
      </w:r>
    </w:p>
    <w:p w14:paraId="2CF99F22" w14:textId="77777777" w:rsidR="003B1ED2" w:rsidRDefault="003B1ED2" w:rsidP="00353163">
      <w:pPr>
        <w:rPr>
          <w:vertAlign w:val="superscript"/>
        </w:rPr>
      </w:pPr>
    </w:p>
    <w:p w14:paraId="2CF99F23" w14:textId="77777777" w:rsidR="003B1ED2" w:rsidRPr="000530DC" w:rsidRDefault="00E42BCD" w:rsidP="00353163">
      <w:pPr>
        <w:rPr>
          <w:vertAlign w:val="superscript"/>
        </w:rPr>
      </w:pPr>
      <w:r>
        <w:t>VVC</w:t>
      </w:r>
      <w:r w:rsidR="003B1ED2">
        <w:t xml:space="preserve"> occurs more frequently and has greater persistence, but not greater severity, in </w:t>
      </w:r>
      <w:r>
        <w:t>HIV- (</w:t>
      </w:r>
      <w:r w:rsidR="003B1ED2">
        <w:t>human immunodeficiency virus</w:t>
      </w:r>
      <w:r>
        <w:t>)</w:t>
      </w:r>
      <w:r w:rsidR="003B1ED2">
        <w:t xml:space="preserve"> infected women with very low CD4 counts and high viral load. However, this population is likely to manifest other acquired immune deficiency syndrome –related sentinel conditions. HIV testing of women only for the indication of recurrent vulvovaginal candidiasis is not justified, given that this condition is common in women without HIV</w:t>
      </w:r>
      <w:r w:rsidR="00530607">
        <w:t xml:space="preserve">. </w:t>
      </w:r>
      <w:r w:rsidR="00530607" w:rsidRPr="000530DC">
        <w:rPr>
          <w:vertAlign w:val="superscript"/>
        </w:rPr>
        <w:t>8</w:t>
      </w:r>
      <w:r w:rsidR="003B1ED2" w:rsidRPr="000530DC">
        <w:rPr>
          <w:vertAlign w:val="superscript"/>
        </w:rPr>
        <w:t xml:space="preserve">   </w:t>
      </w:r>
    </w:p>
    <w:p w14:paraId="2CF99F24" w14:textId="77777777" w:rsidR="00353163" w:rsidRPr="008F51D6" w:rsidRDefault="00353163" w:rsidP="00353163">
      <w:pPr>
        <w:rPr>
          <w:b/>
          <w:color w:val="002868"/>
        </w:rPr>
      </w:pPr>
    </w:p>
    <w:p w14:paraId="2CF99F25" w14:textId="77777777" w:rsidR="000B7CAE" w:rsidRDefault="00353163" w:rsidP="00353163">
      <w:r w:rsidRPr="00136BB0">
        <w:t xml:space="preserve">DNA-probe tests have been developed to directly detect the presence of </w:t>
      </w:r>
      <w:r w:rsidRPr="00136BB0">
        <w:rPr>
          <w:i/>
        </w:rPr>
        <w:t>Candida</w:t>
      </w:r>
      <w:r w:rsidRPr="00136BB0">
        <w:t xml:space="preserve">, </w:t>
      </w:r>
      <w:r w:rsidRPr="00136BB0">
        <w:rPr>
          <w:i/>
        </w:rPr>
        <w:t>Trichomonas</w:t>
      </w:r>
      <w:r w:rsidRPr="00136BB0">
        <w:t xml:space="preserve"> and </w:t>
      </w:r>
      <w:r w:rsidRPr="00136BB0">
        <w:rPr>
          <w:i/>
        </w:rPr>
        <w:t>G. vaginalis</w:t>
      </w:r>
      <w:r w:rsidR="00B05ED3" w:rsidRPr="00136BB0">
        <w:t>.</w:t>
      </w:r>
      <w:r w:rsidRPr="00136BB0">
        <w:t xml:space="preserve"> Since </w:t>
      </w:r>
      <w:r w:rsidRPr="00136BB0">
        <w:rPr>
          <w:i/>
        </w:rPr>
        <w:t>G. vaginalis</w:t>
      </w:r>
      <w:r w:rsidRPr="00136BB0">
        <w:t xml:space="preserve"> is a normal part of the vaginal flora, the DNA probe test is designed to be relatively insensitive, detecting only pathogenic levels of </w:t>
      </w:r>
      <w:r w:rsidRPr="00136BB0">
        <w:rPr>
          <w:i/>
        </w:rPr>
        <w:t>G. vaginalis</w:t>
      </w:r>
      <w:r w:rsidRPr="00136BB0">
        <w:t xml:space="preserve">. DNA probes amplified by </w:t>
      </w:r>
      <w:r w:rsidR="00E42BCD">
        <w:t>PCR testing</w:t>
      </w:r>
      <w:r w:rsidRPr="00136BB0">
        <w:t xml:space="preserve"> can also detect these pathogens.  In PCR tests, the sample is treated with enzymes that ampli</w:t>
      </w:r>
      <w:r w:rsidR="00B05ED3" w:rsidRPr="00136BB0">
        <w:t>fy specific regions of the DNA.</w:t>
      </w:r>
      <w:r w:rsidRPr="00136BB0">
        <w:t xml:space="preserve"> After amplification, the number of DNA fragments is quantified.  PCR</w:t>
      </w:r>
      <w:r w:rsidR="00E42BCD">
        <w:t xml:space="preserve"> testing</w:t>
      </w:r>
      <w:r w:rsidRPr="00136BB0">
        <w:t xml:space="preserve"> has proven to be the most accurate diagnostic method in recent studies; however PCR </w:t>
      </w:r>
      <w:r w:rsidR="00E42BCD">
        <w:t xml:space="preserve">testing </w:t>
      </w:r>
      <w:r w:rsidRPr="00136BB0">
        <w:t>has not been shown to improve clinical outcomes over direct DNA-probe testing.</w:t>
      </w:r>
      <w:r w:rsidR="00CA0FA7" w:rsidRPr="00136BB0">
        <w:t xml:space="preserve"> </w:t>
      </w:r>
    </w:p>
    <w:p w14:paraId="2CF99F26" w14:textId="77777777" w:rsidR="000B7CAE" w:rsidRDefault="000B7CAE" w:rsidP="00353163"/>
    <w:p w14:paraId="2CF99F27" w14:textId="77777777" w:rsidR="00620A65" w:rsidRPr="00136BB0" w:rsidRDefault="00620A65" w:rsidP="00353163">
      <w:pPr>
        <w:rPr>
          <w:i/>
        </w:rPr>
      </w:pPr>
      <w:r w:rsidRPr="00136BB0">
        <w:rPr>
          <w:i/>
        </w:rPr>
        <w:t>Pediatric Patients</w:t>
      </w:r>
    </w:p>
    <w:p w14:paraId="2CF99F28" w14:textId="07899EA7" w:rsidR="00620A65" w:rsidRPr="00136BB0" w:rsidRDefault="00620A65" w:rsidP="00353163">
      <w:pPr>
        <w:rPr>
          <w:bCs/>
          <w:color w:val="000000"/>
          <w:vertAlign w:val="superscript"/>
        </w:rPr>
      </w:pPr>
      <w:r w:rsidRPr="00136BB0">
        <w:t>Girls less than 13 years of age tend to have a different etiology for vaginitis than do older girls, due to the lack of estrogenization of the vagina, and the consequential alkalinity and vaginal atrophy.</w:t>
      </w:r>
      <w:r w:rsidRPr="00136BB0">
        <w:rPr>
          <w:vertAlign w:val="superscript"/>
        </w:rPr>
        <w:t>5</w:t>
      </w:r>
      <w:r w:rsidRPr="00136BB0">
        <w:t xml:space="preserve"> Common causes of vulvovaginal symptoms may include respiratory organisms such as </w:t>
      </w:r>
      <w:r w:rsidRPr="00136BB0">
        <w:rPr>
          <w:bCs/>
          <w:color w:val="000000"/>
        </w:rPr>
        <w:t xml:space="preserve">group A streptococci and </w:t>
      </w:r>
      <w:r w:rsidRPr="00136BB0">
        <w:rPr>
          <w:bCs/>
          <w:i/>
          <w:color w:val="000000"/>
        </w:rPr>
        <w:t>Hemophilus influenzae</w:t>
      </w:r>
      <w:r w:rsidRPr="00136BB0">
        <w:rPr>
          <w:bCs/>
          <w:color w:val="000000"/>
        </w:rPr>
        <w:t>, as well as enteric and sexually transmitted pathogens. Pinworms or foreign bodies may also lead to vaginitis in this population</w:t>
      </w:r>
      <w:r w:rsidR="00640B25">
        <w:rPr>
          <w:bCs/>
          <w:color w:val="000000"/>
        </w:rPr>
        <w:t>.</w:t>
      </w:r>
      <w:r w:rsidRPr="00136BB0">
        <w:rPr>
          <w:bCs/>
          <w:color w:val="000000"/>
        </w:rPr>
        <w:t>.</w:t>
      </w:r>
      <w:r w:rsidRPr="00136BB0">
        <w:rPr>
          <w:bCs/>
          <w:color w:val="000000"/>
          <w:vertAlign w:val="superscript"/>
        </w:rPr>
        <w:t>5</w:t>
      </w:r>
      <w:r w:rsidR="001E1F4D" w:rsidRPr="00136BB0">
        <w:rPr>
          <w:bCs/>
          <w:color w:val="000000"/>
          <w:vertAlign w:val="superscript"/>
        </w:rPr>
        <w:t xml:space="preserve"> </w:t>
      </w:r>
      <w:r w:rsidR="00CA0FA7" w:rsidRPr="00136BB0">
        <w:rPr>
          <w:bCs/>
          <w:color w:val="000000"/>
          <w:vertAlign w:val="superscript"/>
        </w:rPr>
        <w:t xml:space="preserve"> 6</w:t>
      </w:r>
    </w:p>
    <w:p w14:paraId="2CF99F29" w14:textId="77777777" w:rsidR="00281A43" w:rsidRPr="002A0623" w:rsidRDefault="00281A43">
      <w:pPr>
        <w:rPr>
          <w:i/>
          <w:lang w:val="en"/>
        </w:rPr>
      </w:pPr>
    </w:p>
    <w:p w14:paraId="2CF99F2A" w14:textId="77777777" w:rsidR="001E1F4D" w:rsidRPr="00A20ADE" w:rsidRDefault="001E1F4D">
      <w:pPr>
        <w:rPr>
          <w:b/>
          <w:bCs/>
          <w:i/>
        </w:rPr>
      </w:pPr>
      <w:r w:rsidRPr="002A0623">
        <w:rPr>
          <w:i/>
          <w:lang w:val="en"/>
        </w:rPr>
        <w:t>Centers for Disease Control and Prevention</w:t>
      </w:r>
    </w:p>
    <w:p w14:paraId="2CF99F2B" w14:textId="77777777" w:rsidR="001E1F4D" w:rsidRPr="002A0623" w:rsidRDefault="001E1F4D">
      <w:pPr>
        <w:rPr>
          <w:vertAlign w:val="superscript"/>
          <w:lang w:val="en"/>
        </w:rPr>
      </w:pPr>
      <w:r w:rsidRPr="002A0623">
        <w:rPr>
          <w:lang w:val="en"/>
        </w:rPr>
        <w:t xml:space="preserve">Screening for </w:t>
      </w:r>
      <w:r w:rsidRPr="002A0623">
        <w:rPr>
          <w:rStyle w:val="Emphasis"/>
          <w:lang w:val="en"/>
        </w:rPr>
        <w:t>T. vaginalis</w:t>
      </w:r>
      <w:r w:rsidRPr="002A0623">
        <w:rPr>
          <w:lang w:val="en"/>
        </w:rPr>
        <w:t xml:space="preserve"> in women can be considered in those at high risk for infection (i.e., women who have new or multiple partners, have a history of S</w:t>
      </w:r>
      <w:r w:rsidR="00E42BCD">
        <w:rPr>
          <w:lang w:val="en"/>
        </w:rPr>
        <w:t>TI</w:t>
      </w:r>
      <w:r w:rsidRPr="002A0623">
        <w:rPr>
          <w:lang w:val="en"/>
        </w:rPr>
        <w:t xml:space="preserve">s, exchange sex for payment, and use injection drugs). </w:t>
      </w:r>
      <w:r w:rsidRPr="002A0623">
        <w:rPr>
          <w:vertAlign w:val="superscript"/>
          <w:lang w:val="en"/>
        </w:rPr>
        <w:t>3</w:t>
      </w:r>
    </w:p>
    <w:p w14:paraId="2CF99F2C" w14:textId="77777777" w:rsidR="001E1F4D" w:rsidRPr="002A0623" w:rsidRDefault="001E1F4D">
      <w:pPr>
        <w:rPr>
          <w:rFonts w:ascii="Calibri" w:hAnsi="Calibri" w:cs="Arial"/>
          <w:lang w:val="en"/>
        </w:rPr>
      </w:pPr>
    </w:p>
    <w:p w14:paraId="2CF99F2D" w14:textId="77777777" w:rsidR="001E1F4D" w:rsidRPr="002A0623" w:rsidRDefault="001E1F4D">
      <w:pPr>
        <w:rPr>
          <w:lang w:val="en"/>
        </w:rPr>
      </w:pPr>
      <w:r w:rsidRPr="002A0623">
        <w:rPr>
          <w:lang w:val="en"/>
        </w:rPr>
        <w:t>Recommends the gram stain as the gold standard for diagnosis of bacterial vaginosis, and recommend use of Amsel's criteria if a gram stain is not available. </w:t>
      </w:r>
      <w:r w:rsidR="003D63BD" w:rsidRPr="002A0623">
        <w:rPr>
          <w:vertAlign w:val="superscript"/>
          <w:lang w:val="en"/>
        </w:rPr>
        <w:t>3</w:t>
      </w:r>
    </w:p>
    <w:p w14:paraId="2CF99F2E" w14:textId="77777777" w:rsidR="00530607" w:rsidRPr="002A0623" w:rsidRDefault="00530607" w:rsidP="001E1F4D">
      <w:pPr>
        <w:rPr>
          <w:i/>
          <w:lang w:val="en"/>
        </w:rPr>
      </w:pPr>
    </w:p>
    <w:p w14:paraId="2CF99F2F" w14:textId="77777777" w:rsidR="001E1F4D" w:rsidRPr="002A0623" w:rsidRDefault="001E1F4D" w:rsidP="001E1F4D">
      <w:pPr>
        <w:rPr>
          <w:i/>
          <w:lang w:val="en"/>
        </w:rPr>
      </w:pPr>
      <w:r w:rsidRPr="002A0623">
        <w:rPr>
          <w:i/>
          <w:lang w:val="en"/>
        </w:rPr>
        <w:t xml:space="preserve">U.S. Preventive Services Task Force </w:t>
      </w:r>
    </w:p>
    <w:p w14:paraId="2CF99F30" w14:textId="77777777" w:rsidR="001E1F4D" w:rsidRPr="00A20ADE" w:rsidRDefault="001E1F4D" w:rsidP="001E1F4D">
      <w:pPr>
        <w:rPr>
          <w:b/>
          <w:bCs/>
        </w:rPr>
      </w:pPr>
      <w:r w:rsidRPr="002A0623">
        <w:rPr>
          <w:lang w:val="en"/>
        </w:rPr>
        <w:t xml:space="preserve">This organization does not recommend screening for bacterial vaginosis in pregnant women at low-risk for pre-term delivery. </w:t>
      </w:r>
      <w:r w:rsidR="00530607" w:rsidRPr="002A0623">
        <w:rPr>
          <w:vertAlign w:val="superscript"/>
          <w:lang w:val="en"/>
        </w:rPr>
        <w:t>9</w:t>
      </w:r>
    </w:p>
    <w:p w14:paraId="2CF99F31" w14:textId="77777777" w:rsidR="001E1F4D" w:rsidRPr="000465DE" w:rsidRDefault="001E1F4D">
      <w:pPr>
        <w:rPr>
          <w:b/>
          <w:bCs/>
        </w:rPr>
      </w:pPr>
    </w:p>
    <w:p w14:paraId="2CF99F32" w14:textId="77777777" w:rsidR="00170B14" w:rsidRPr="00B777AF" w:rsidRDefault="00170B14" w:rsidP="00170B14">
      <w:pPr>
        <w:rPr>
          <w:b/>
        </w:rPr>
      </w:pPr>
      <w:bookmarkStart w:id="0" w:name="Coding_Implications"/>
      <w:r w:rsidRPr="00B777AF">
        <w:rPr>
          <w:b/>
        </w:rPr>
        <w:t>Coding Implications</w:t>
      </w:r>
    </w:p>
    <w:bookmarkEnd w:id="0"/>
    <w:p w14:paraId="2CF99F33" w14:textId="093C56FB" w:rsidR="00470D11" w:rsidRDefault="00470D11" w:rsidP="00470D11">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B4644B">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2CF99F34" w14:textId="77777777" w:rsidR="004A2488" w:rsidRDefault="004A2488" w:rsidP="00470D11"/>
    <w:p w14:paraId="2CF99F35" w14:textId="390944E7" w:rsidR="00470D11" w:rsidRPr="004A2488" w:rsidRDefault="00C5582B" w:rsidP="00AF5490">
      <w:pPr>
        <w:rPr>
          <w:b/>
        </w:rPr>
      </w:pPr>
      <w:r>
        <w:rPr>
          <w:b/>
        </w:rPr>
        <w:t>Table 1. CPT c</w:t>
      </w:r>
      <w:r w:rsidR="004A2488" w:rsidRPr="004A2488">
        <w:rPr>
          <w:b/>
        </w:rPr>
        <w:t xml:space="preserve">odes </w:t>
      </w:r>
      <w:r>
        <w:rPr>
          <w:b/>
        </w:rPr>
        <w:t>c</w:t>
      </w:r>
      <w:r w:rsidR="004A2488" w:rsidRPr="004A2488">
        <w:rPr>
          <w:b/>
        </w:rPr>
        <w:t xml:space="preserve">onsidered </w:t>
      </w:r>
      <w:r>
        <w:rPr>
          <w:b/>
        </w:rPr>
        <w:t>m</w:t>
      </w:r>
      <w:r w:rsidR="004A2488" w:rsidRPr="004A2488">
        <w:rPr>
          <w:b/>
        </w:rPr>
        <w:t xml:space="preserve">edically </w:t>
      </w:r>
      <w:r>
        <w:rPr>
          <w:b/>
        </w:rPr>
        <w:t>n</w:t>
      </w:r>
      <w:r w:rsidR="004A2488" w:rsidRPr="004A2488">
        <w:rPr>
          <w:b/>
        </w:rPr>
        <w:t>ecessary</w:t>
      </w:r>
      <w:r>
        <w:rPr>
          <w:b/>
        </w:rPr>
        <w:t xml:space="preserve"> </w:t>
      </w:r>
      <w:r w:rsidR="00A60BFD">
        <w:rPr>
          <w:b/>
        </w:rPr>
        <w:t>when billed with</w:t>
      </w:r>
      <w:r w:rsidR="00280C6C">
        <w:rPr>
          <w:b/>
        </w:rPr>
        <w:t xml:space="preserve"> an</w:t>
      </w:r>
      <w:r w:rsidR="00A60BFD">
        <w:rPr>
          <w:b/>
        </w:rPr>
        <w:t xml:space="preserve"> ICD-10-CM code in Table 2</w:t>
      </w:r>
      <w:r w:rsidR="004A2488" w:rsidRPr="004A2488">
        <w:rPr>
          <w:b/>
        </w:rPr>
        <w:t xml:space="preserve"> </w:t>
      </w:r>
    </w:p>
    <w:tbl>
      <w:tblPr>
        <w:tblStyle w:val="TableGrid"/>
        <w:tblW w:w="5147" w:type="pct"/>
        <w:tblLook w:val="0020" w:firstRow="1" w:lastRow="0" w:firstColumn="0" w:lastColumn="0" w:noHBand="0" w:noVBand="0"/>
      </w:tblPr>
      <w:tblGrid>
        <w:gridCol w:w="1106"/>
        <w:gridCol w:w="8519"/>
      </w:tblGrid>
      <w:tr w:rsidR="00195CF9" w:rsidRPr="00EF6CBF" w14:paraId="31745E1F" w14:textId="77777777" w:rsidTr="00280C6C">
        <w:trPr>
          <w:cantSplit/>
          <w:tblHeader/>
        </w:trPr>
        <w:tc>
          <w:tcPr>
            <w:tcW w:w="1106" w:type="dxa"/>
            <w:shd w:val="clear" w:color="auto" w:fill="00548C"/>
          </w:tcPr>
          <w:p w14:paraId="51E3BC4A" w14:textId="77777777" w:rsidR="00195CF9" w:rsidRPr="00EF6CBF" w:rsidRDefault="00195CF9" w:rsidP="00B443FA">
            <w:pPr>
              <w:rPr>
                <w:b/>
                <w:bCs/>
                <w:color w:val="FFFFFF" w:themeColor="background1"/>
              </w:rPr>
            </w:pPr>
            <w:r w:rsidRPr="00EF6CBF">
              <w:rPr>
                <w:b/>
                <w:color w:val="FFFFFF" w:themeColor="background1"/>
              </w:rPr>
              <w:t>CPT</w:t>
            </w:r>
            <w:r w:rsidRPr="00EF6CBF">
              <w:rPr>
                <w:b/>
                <w:color w:val="FFFFFF" w:themeColor="background1"/>
                <w:vertAlign w:val="superscript"/>
              </w:rPr>
              <w:t>®*</w:t>
            </w:r>
            <w:r w:rsidRPr="00EF6CBF">
              <w:rPr>
                <w:b/>
                <w:color w:val="FFFFFF" w:themeColor="background1"/>
              </w:rPr>
              <w:t xml:space="preserve"> Codes </w:t>
            </w:r>
          </w:p>
        </w:tc>
        <w:tc>
          <w:tcPr>
            <w:tcW w:w="8519" w:type="dxa"/>
            <w:shd w:val="clear" w:color="auto" w:fill="00548C"/>
          </w:tcPr>
          <w:p w14:paraId="28BB3887" w14:textId="77777777" w:rsidR="00195CF9" w:rsidRPr="00EF6CBF" w:rsidRDefault="00195CF9" w:rsidP="00B443FA">
            <w:pPr>
              <w:rPr>
                <w:b/>
                <w:bCs/>
                <w:color w:val="FFFFFF" w:themeColor="background1"/>
              </w:rPr>
            </w:pPr>
            <w:r w:rsidRPr="00EF6CBF">
              <w:rPr>
                <w:b/>
                <w:color w:val="FFFFFF" w:themeColor="background1"/>
              </w:rPr>
              <w:t>Description</w:t>
            </w:r>
          </w:p>
        </w:tc>
      </w:tr>
      <w:tr w:rsidR="00195CF9" w:rsidRPr="00EF6CBF" w14:paraId="0F103413" w14:textId="77777777" w:rsidTr="00280C6C">
        <w:trPr>
          <w:cantSplit/>
        </w:trPr>
        <w:tc>
          <w:tcPr>
            <w:tcW w:w="1106" w:type="dxa"/>
          </w:tcPr>
          <w:p w14:paraId="584BA540" w14:textId="77777777" w:rsidR="00195CF9" w:rsidRPr="00EF6CBF" w:rsidRDefault="00195CF9" w:rsidP="00B443FA">
            <w:pPr>
              <w:jc w:val="both"/>
            </w:pPr>
            <w:r w:rsidRPr="00EF6CBF">
              <w:t>82120</w:t>
            </w:r>
          </w:p>
        </w:tc>
        <w:tc>
          <w:tcPr>
            <w:tcW w:w="8519" w:type="dxa"/>
          </w:tcPr>
          <w:p w14:paraId="690F67DB" w14:textId="77777777" w:rsidR="00195CF9" w:rsidRPr="00EF6CBF" w:rsidRDefault="00195CF9" w:rsidP="00B443FA">
            <w:pPr>
              <w:jc w:val="both"/>
            </w:pPr>
            <w:r w:rsidRPr="00EF6CBF">
              <w:t>Amines, vaginal fluid, qualitative</w:t>
            </w:r>
          </w:p>
        </w:tc>
      </w:tr>
      <w:tr w:rsidR="00195CF9" w:rsidRPr="00EF6CBF" w14:paraId="0B1B6BF7" w14:textId="77777777" w:rsidTr="00280C6C">
        <w:trPr>
          <w:cantSplit/>
        </w:trPr>
        <w:tc>
          <w:tcPr>
            <w:tcW w:w="1106" w:type="dxa"/>
          </w:tcPr>
          <w:p w14:paraId="7BAA6583" w14:textId="77777777" w:rsidR="00195CF9" w:rsidRPr="00EF6CBF" w:rsidRDefault="00195CF9" w:rsidP="00B443FA">
            <w:pPr>
              <w:jc w:val="both"/>
            </w:pPr>
            <w:r w:rsidRPr="00EF6CBF">
              <w:t>83986</w:t>
            </w:r>
          </w:p>
        </w:tc>
        <w:tc>
          <w:tcPr>
            <w:tcW w:w="8519" w:type="dxa"/>
          </w:tcPr>
          <w:p w14:paraId="53053DA9" w14:textId="77777777" w:rsidR="00195CF9" w:rsidRPr="00EF6CBF" w:rsidRDefault="00195CF9" w:rsidP="00B443FA">
            <w:pPr>
              <w:jc w:val="both"/>
            </w:pPr>
            <w:r w:rsidRPr="00EF6CBF">
              <w:t>pH; body fluid, not otherwise specified</w:t>
            </w:r>
          </w:p>
        </w:tc>
      </w:tr>
      <w:tr w:rsidR="00195CF9" w:rsidRPr="00EF6CBF" w14:paraId="08FBA594" w14:textId="77777777" w:rsidTr="00280C6C">
        <w:trPr>
          <w:cantSplit/>
        </w:trPr>
        <w:tc>
          <w:tcPr>
            <w:tcW w:w="1106" w:type="dxa"/>
          </w:tcPr>
          <w:p w14:paraId="3609A7F7" w14:textId="77777777" w:rsidR="00195CF9" w:rsidRPr="00EF6CBF" w:rsidRDefault="00195CF9" w:rsidP="00B443FA">
            <w:pPr>
              <w:jc w:val="both"/>
            </w:pPr>
            <w:r w:rsidRPr="00EF6CBF">
              <w:t>87210</w:t>
            </w:r>
          </w:p>
        </w:tc>
        <w:tc>
          <w:tcPr>
            <w:tcW w:w="8519" w:type="dxa"/>
          </w:tcPr>
          <w:p w14:paraId="2B7D8247" w14:textId="77777777" w:rsidR="00195CF9" w:rsidRPr="00EF6CBF" w:rsidRDefault="00195CF9" w:rsidP="00B443FA">
            <w:pPr>
              <w:jc w:val="both"/>
            </w:pPr>
            <w:r w:rsidRPr="00EF6CBF">
              <w:t>Smear, primary source with interpretation; wet mount for infectious agents (eg, saline, India ink, KOH preps)</w:t>
            </w:r>
          </w:p>
        </w:tc>
      </w:tr>
      <w:tr w:rsidR="00195CF9" w:rsidRPr="00EF6CBF" w14:paraId="023CE0E7" w14:textId="77777777" w:rsidTr="00280C6C">
        <w:trPr>
          <w:cantSplit/>
        </w:trPr>
        <w:tc>
          <w:tcPr>
            <w:tcW w:w="1106" w:type="dxa"/>
          </w:tcPr>
          <w:p w14:paraId="390BD2B1" w14:textId="77777777" w:rsidR="00195CF9" w:rsidRPr="00EF6CBF" w:rsidRDefault="00195CF9" w:rsidP="00B443FA">
            <w:pPr>
              <w:jc w:val="both"/>
            </w:pPr>
            <w:r w:rsidRPr="00EF6CBF">
              <w:t>87480</w:t>
            </w:r>
          </w:p>
        </w:tc>
        <w:tc>
          <w:tcPr>
            <w:tcW w:w="8519" w:type="dxa"/>
          </w:tcPr>
          <w:p w14:paraId="159EA56C" w14:textId="77777777" w:rsidR="00195CF9" w:rsidRPr="00EF6CBF" w:rsidRDefault="00195CF9" w:rsidP="00B443FA">
            <w:pPr>
              <w:jc w:val="both"/>
            </w:pPr>
            <w:r w:rsidRPr="00EF2C2F">
              <w:t xml:space="preserve">Infectious agent detection by nucleic acid (DNA or RNA); </w:t>
            </w:r>
            <w:r w:rsidRPr="00EF6CBF">
              <w:t>Candida species, direct probe technique</w:t>
            </w:r>
          </w:p>
        </w:tc>
      </w:tr>
      <w:tr w:rsidR="00195CF9" w:rsidRPr="00EF6CBF" w14:paraId="323CC8D9" w14:textId="77777777" w:rsidTr="00280C6C">
        <w:trPr>
          <w:cantSplit/>
        </w:trPr>
        <w:tc>
          <w:tcPr>
            <w:tcW w:w="1106" w:type="dxa"/>
          </w:tcPr>
          <w:p w14:paraId="748CA806" w14:textId="77777777" w:rsidR="00195CF9" w:rsidRPr="00EF6CBF" w:rsidRDefault="00195CF9" w:rsidP="00B443FA">
            <w:pPr>
              <w:jc w:val="both"/>
            </w:pPr>
            <w:r w:rsidRPr="00EF6CBF">
              <w:t>87510</w:t>
            </w:r>
          </w:p>
        </w:tc>
        <w:tc>
          <w:tcPr>
            <w:tcW w:w="8519" w:type="dxa"/>
          </w:tcPr>
          <w:p w14:paraId="5316F188" w14:textId="77777777" w:rsidR="00195CF9" w:rsidRPr="00EF6CBF" w:rsidRDefault="00195CF9" w:rsidP="00B443FA">
            <w:pPr>
              <w:jc w:val="both"/>
            </w:pPr>
            <w:r w:rsidRPr="00EF2C2F">
              <w:t xml:space="preserve">Infectious agent detection by nucleic acid (DNA or RNA); </w:t>
            </w:r>
            <w:r w:rsidRPr="00EF6CBF">
              <w:t>Gardnerella vaginalis, direct probe technique</w:t>
            </w:r>
          </w:p>
        </w:tc>
      </w:tr>
      <w:tr w:rsidR="00195CF9" w:rsidRPr="00EF6CBF" w14:paraId="0BD6C7A3" w14:textId="77777777" w:rsidTr="00280C6C">
        <w:trPr>
          <w:cantSplit/>
        </w:trPr>
        <w:tc>
          <w:tcPr>
            <w:tcW w:w="1106" w:type="dxa"/>
          </w:tcPr>
          <w:p w14:paraId="5CEBDE15" w14:textId="77777777" w:rsidR="00195CF9" w:rsidRPr="00EF6CBF" w:rsidRDefault="00195CF9" w:rsidP="00B443FA">
            <w:pPr>
              <w:jc w:val="both"/>
            </w:pPr>
            <w:r w:rsidRPr="00EF6CBF">
              <w:t>87905</w:t>
            </w:r>
          </w:p>
        </w:tc>
        <w:tc>
          <w:tcPr>
            <w:tcW w:w="8519" w:type="dxa"/>
          </w:tcPr>
          <w:p w14:paraId="5FB3B294" w14:textId="77777777" w:rsidR="00195CF9" w:rsidRPr="00EF6CBF" w:rsidRDefault="00195CF9" w:rsidP="00B443FA">
            <w:pPr>
              <w:jc w:val="both"/>
            </w:pPr>
            <w:r w:rsidRPr="00EF6CBF">
              <w:t>Infectious agent enzymatic activity other than virus (eg, sialidase activity in vaginal fluid)</w:t>
            </w:r>
          </w:p>
        </w:tc>
      </w:tr>
    </w:tbl>
    <w:p w14:paraId="2CF99F4F" w14:textId="77777777" w:rsidR="00AF5490" w:rsidRDefault="00AF5490" w:rsidP="00AF5490"/>
    <w:p w14:paraId="2CF99F50" w14:textId="1C3D5893" w:rsidR="004A2488" w:rsidRPr="00EF6CBF" w:rsidRDefault="00C5582B" w:rsidP="004A2488">
      <w:pPr>
        <w:rPr>
          <w:b/>
        </w:rPr>
      </w:pPr>
      <w:r>
        <w:rPr>
          <w:b/>
        </w:rPr>
        <w:t xml:space="preserve">Table 2. </w:t>
      </w:r>
      <w:r w:rsidR="004A2488" w:rsidRPr="00EF6CBF">
        <w:rPr>
          <w:b/>
        </w:rPr>
        <w:t xml:space="preserve">ICD-10-CM </w:t>
      </w:r>
      <w:r w:rsidR="00280C6C">
        <w:rPr>
          <w:b/>
        </w:rPr>
        <w:t>d</w:t>
      </w:r>
      <w:r w:rsidR="004A2488" w:rsidRPr="00EF6CBF">
        <w:rPr>
          <w:b/>
        </w:rPr>
        <w:t xml:space="preserve">iagnosis </w:t>
      </w:r>
      <w:r w:rsidR="007A5D8A">
        <w:rPr>
          <w:b/>
        </w:rPr>
        <w:t>c</w:t>
      </w:r>
      <w:r w:rsidR="004A2488" w:rsidRPr="00EF6CBF">
        <w:rPr>
          <w:b/>
        </w:rPr>
        <w:t xml:space="preserve">odes that </w:t>
      </w:r>
      <w:r>
        <w:rPr>
          <w:b/>
        </w:rPr>
        <w:t>s</w:t>
      </w:r>
      <w:r w:rsidR="004A2488" w:rsidRPr="00EF6CBF">
        <w:rPr>
          <w:b/>
        </w:rPr>
        <w:t xml:space="preserve">upport </w:t>
      </w:r>
      <w:r>
        <w:rPr>
          <w:b/>
        </w:rPr>
        <w:t>m</w:t>
      </w:r>
      <w:r w:rsidR="004A2488" w:rsidRPr="00EF6CBF">
        <w:rPr>
          <w:b/>
        </w:rPr>
        <w:t xml:space="preserve">edical </w:t>
      </w:r>
      <w:r>
        <w:rPr>
          <w:b/>
        </w:rPr>
        <w:t>n</w:t>
      </w:r>
      <w:r w:rsidR="004A2488" w:rsidRPr="00EF6CBF">
        <w:rPr>
          <w:b/>
        </w:rPr>
        <w:t>ecessity</w:t>
      </w:r>
      <w:r>
        <w:rPr>
          <w:b/>
        </w:rPr>
        <w:t xml:space="preserve"> per this policy</w:t>
      </w:r>
    </w:p>
    <w:tbl>
      <w:tblPr>
        <w:tblStyle w:val="TableGrid"/>
        <w:tblW w:w="5147" w:type="pct"/>
        <w:tblLook w:val="0020" w:firstRow="1" w:lastRow="0" w:firstColumn="0" w:lastColumn="0" w:noHBand="0" w:noVBand="0"/>
      </w:tblPr>
      <w:tblGrid>
        <w:gridCol w:w="2016"/>
        <w:gridCol w:w="7609"/>
      </w:tblGrid>
      <w:tr w:rsidR="00195CF9" w:rsidRPr="00EF6CBF" w14:paraId="05093D04" w14:textId="77777777" w:rsidTr="00280C6C">
        <w:trPr>
          <w:cantSplit/>
          <w:tblHeader/>
        </w:trPr>
        <w:tc>
          <w:tcPr>
            <w:tcW w:w="2016" w:type="dxa"/>
            <w:shd w:val="clear" w:color="auto" w:fill="00548C"/>
          </w:tcPr>
          <w:p w14:paraId="5CE38A7C" w14:textId="77777777" w:rsidR="00195CF9" w:rsidRPr="00EF6CBF" w:rsidRDefault="00195CF9" w:rsidP="00B443FA">
            <w:pPr>
              <w:rPr>
                <w:b/>
                <w:bCs/>
                <w:color w:val="FFFFFF"/>
              </w:rPr>
            </w:pPr>
            <w:r w:rsidRPr="00EF6CBF">
              <w:rPr>
                <w:b/>
                <w:color w:val="FFFFFF"/>
              </w:rPr>
              <w:t>ICD-10-CM Code</w:t>
            </w:r>
          </w:p>
        </w:tc>
        <w:tc>
          <w:tcPr>
            <w:tcW w:w="7609" w:type="dxa"/>
            <w:shd w:val="clear" w:color="auto" w:fill="00548C"/>
          </w:tcPr>
          <w:p w14:paraId="2044A8B7" w14:textId="77777777" w:rsidR="00195CF9" w:rsidRPr="00EF6CBF" w:rsidRDefault="00195CF9" w:rsidP="00B443FA">
            <w:pPr>
              <w:rPr>
                <w:b/>
                <w:bCs/>
                <w:color w:val="FFFFFF"/>
              </w:rPr>
            </w:pPr>
            <w:r w:rsidRPr="00EF6CBF">
              <w:rPr>
                <w:b/>
                <w:color w:val="FFFFFF"/>
              </w:rPr>
              <w:t>Description</w:t>
            </w:r>
          </w:p>
        </w:tc>
      </w:tr>
      <w:tr w:rsidR="00195CF9" w:rsidRPr="00EF6CBF" w14:paraId="2045745D" w14:textId="77777777" w:rsidTr="00280C6C">
        <w:trPr>
          <w:cantSplit/>
        </w:trPr>
        <w:tc>
          <w:tcPr>
            <w:tcW w:w="2016" w:type="dxa"/>
          </w:tcPr>
          <w:p w14:paraId="4E766F56" w14:textId="77777777" w:rsidR="00195CF9" w:rsidRPr="00EF6CBF" w:rsidRDefault="00195CF9" w:rsidP="00B443FA">
            <w:r w:rsidRPr="00EF6CBF">
              <w:t>A59.01</w:t>
            </w:r>
          </w:p>
        </w:tc>
        <w:tc>
          <w:tcPr>
            <w:tcW w:w="7609" w:type="dxa"/>
          </w:tcPr>
          <w:p w14:paraId="309A0884" w14:textId="77777777" w:rsidR="00195CF9" w:rsidRPr="00EF6CBF" w:rsidRDefault="00195CF9" w:rsidP="00B443FA">
            <w:r w:rsidRPr="00EF6CBF">
              <w:rPr>
                <w:color w:val="333333"/>
                <w:shd w:val="clear" w:color="auto" w:fill="FFFFFF"/>
              </w:rPr>
              <w:t>Trichomonal vulvovaginitis</w:t>
            </w:r>
          </w:p>
        </w:tc>
      </w:tr>
      <w:tr w:rsidR="00195CF9" w:rsidRPr="00EF6CBF" w14:paraId="323EEA93" w14:textId="77777777" w:rsidTr="00280C6C">
        <w:trPr>
          <w:cantSplit/>
        </w:trPr>
        <w:tc>
          <w:tcPr>
            <w:tcW w:w="2016" w:type="dxa"/>
          </w:tcPr>
          <w:p w14:paraId="238DE768" w14:textId="77777777" w:rsidR="00195CF9" w:rsidRPr="00EF6CBF" w:rsidRDefault="00195CF9" w:rsidP="00B443FA">
            <w:r w:rsidRPr="00EF6CBF">
              <w:t>B37.3</w:t>
            </w:r>
          </w:p>
        </w:tc>
        <w:tc>
          <w:tcPr>
            <w:tcW w:w="7609" w:type="dxa"/>
          </w:tcPr>
          <w:p w14:paraId="15F34F89" w14:textId="77777777" w:rsidR="00195CF9" w:rsidRPr="00EF6CBF" w:rsidRDefault="00195CF9" w:rsidP="00B443FA">
            <w:r w:rsidRPr="00EF6CBF">
              <w:rPr>
                <w:color w:val="333333"/>
                <w:shd w:val="clear" w:color="auto" w:fill="FFFFFF"/>
              </w:rPr>
              <w:t>Candidiasis of vulva and vagina</w:t>
            </w:r>
          </w:p>
        </w:tc>
      </w:tr>
      <w:tr w:rsidR="00195CF9" w:rsidRPr="00EF6CBF" w14:paraId="2BDAC0E6" w14:textId="77777777" w:rsidTr="00280C6C">
        <w:trPr>
          <w:cantSplit/>
        </w:trPr>
        <w:tc>
          <w:tcPr>
            <w:tcW w:w="2016" w:type="dxa"/>
          </w:tcPr>
          <w:p w14:paraId="32B9DEE6" w14:textId="77777777" w:rsidR="00195CF9" w:rsidRPr="00EF6CBF" w:rsidRDefault="00195CF9" w:rsidP="00B443FA">
            <w:r w:rsidRPr="00EF6CBF">
              <w:t>F11.10 - F11.19</w:t>
            </w:r>
          </w:p>
        </w:tc>
        <w:tc>
          <w:tcPr>
            <w:tcW w:w="7609" w:type="dxa"/>
          </w:tcPr>
          <w:p w14:paraId="1FA8DAB3" w14:textId="77777777" w:rsidR="00195CF9" w:rsidRPr="00EF6CBF" w:rsidRDefault="00195CF9" w:rsidP="00B443FA">
            <w:r w:rsidRPr="00EF6CBF">
              <w:t>Opioid abuse [injection drug use]</w:t>
            </w:r>
          </w:p>
        </w:tc>
      </w:tr>
      <w:tr w:rsidR="00195CF9" w:rsidRPr="00EF6CBF" w14:paraId="214DB4D6" w14:textId="77777777" w:rsidTr="00280C6C">
        <w:trPr>
          <w:cantSplit/>
        </w:trPr>
        <w:tc>
          <w:tcPr>
            <w:tcW w:w="2016" w:type="dxa"/>
          </w:tcPr>
          <w:p w14:paraId="0226F00E" w14:textId="77777777" w:rsidR="00195CF9" w:rsidRPr="00EF6CBF" w:rsidRDefault="00195CF9" w:rsidP="00B443FA">
            <w:r w:rsidRPr="00EF6CBF">
              <w:t>F11.20 – F11.29</w:t>
            </w:r>
          </w:p>
        </w:tc>
        <w:tc>
          <w:tcPr>
            <w:tcW w:w="7609" w:type="dxa"/>
          </w:tcPr>
          <w:p w14:paraId="2AD3FAEA" w14:textId="77777777" w:rsidR="00195CF9" w:rsidRPr="00EF6CBF" w:rsidRDefault="00195CF9" w:rsidP="00B443FA">
            <w:r w:rsidRPr="00EF6CBF">
              <w:t>Opioid dependence [injection drug use]</w:t>
            </w:r>
          </w:p>
        </w:tc>
      </w:tr>
      <w:tr w:rsidR="00195CF9" w:rsidRPr="00EF6CBF" w14:paraId="68A1EA93" w14:textId="77777777" w:rsidTr="00280C6C">
        <w:trPr>
          <w:cantSplit/>
        </w:trPr>
        <w:tc>
          <w:tcPr>
            <w:tcW w:w="2016" w:type="dxa"/>
          </w:tcPr>
          <w:p w14:paraId="3D1F2758" w14:textId="77777777" w:rsidR="00195CF9" w:rsidRPr="00EF6CBF" w:rsidRDefault="00195CF9" w:rsidP="00B443FA">
            <w:r w:rsidRPr="00EF6CBF">
              <w:t>F14.10 – F14.19</w:t>
            </w:r>
          </w:p>
        </w:tc>
        <w:tc>
          <w:tcPr>
            <w:tcW w:w="7609" w:type="dxa"/>
          </w:tcPr>
          <w:p w14:paraId="6F353E3F" w14:textId="77777777" w:rsidR="00195CF9" w:rsidRPr="00EF6CBF" w:rsidRDefault="00195CF9" w:rsidP="00B443FA">
            <w:r w:rsidRPr="00EF6CBF">
              <w:t>Cocaine abuse [injection drug use]</w:t>
            </w:r>
          </w:p>
        </w:tc>
      </w:tr>
      <w:tr w:rsidR="00195CF9" w:rsidRPr="00EF6CBF" w14:paraId="7F8DB52F" w14:textId="77777777" w:rsidTr="00280C6C">
        <w:trPr>
          <w:cantSplit/>
        </w:trPr>
        <w:tc>
          <w:tcPr>
            <w:tcW w:w="2016" w:type="dxa"/>
          </w:tcPr>
          <w:p w14:paraId="26B0F4A0" w14:textId="77777777" w:rsidR="00195CF9" w:rsidRPr="00EF6CBF" w:rsidRDefault="00195CF9" w:rsidP="00B443FA">
            <w:r w:rsidRPr="00EF6CBF">
              <w:t>F14.20 – F14.29</w:t>
            </w:r>
          </w:p>
        </w:tc>
        <w:tc>
          <w:tcPr>
            <w:tcW w:w="7609" w:type="dxa"/>
          </w:tcPr>
          <w:p w14:paraId="6DA57530" w14:textId="77777777" w:rsidR="00195CF9" w:rsidRPr="00EF6CBF" w:rsidRDefault="00195CF9" w:rsidP="00B443FA">
            <w:r w:rsidRPr="00EF6CBF">
              <w:t>Cocaine dependence [injection drug use]</w:t>
            </w:r>
          </w:p>
        </w:tc>
      </w:tr>
      <w:tr w:rsidR="00195CF9" w:rsidRPr="00EF6CBF" w14:paraId="5319C988" w14:textId="77777777" w:rsidTr="00280C6C">
        <w:trPr>
          <w:cantSplit/>
        </w:trPr>
        <w:tc>
          <w:tcPr>
            <w:tcW w:w="2016" w:type="dxa"/>
          </w:tcPr>
          <w:p w14:paraId="7A6CCAED" w14:textId="77777777" w:rsidR="00195CF9" w:rsidRPr="00EF6CBF" w:rsidRDefault="00195CF9" w:rsidP="00B443FA">
            <w:r w:rsidRPr="00EF6CBF">
              <w:t>F15.10 – F15.19</w:t>
            </w:r>
          </w:p>
        </w:tc>
        <w:tc>
          <w:tcPr>
            <w:tcW w:w="7609" w:type="dxa"/>
          </w:tcPr>
          <w:p w14:paraId="3AB1D3DE" w14:textId="77777777" w:rsidR="00195CF9" w:rsidRPr="00EF6CBF" w:rsidRDefault="00195CF9" w:rsidP="00B443FA">
            <w:r w:rsidRPr="00EF6CBF">
              <w:t>Other stimulant abuse [injection drug use]</w:t>
            </w:r>
          </w:p>
        </w:tc>
      </w:tr>
      <w:tr w:rsidR="00195CF9" w:rsidRPr="00EF6CBF" w14:paraId="6C17A9FD" w14:textId="77777777" w:rsidTr="00280C6C">
        <w:trPr>
          <w:cantSplit/>
        </w:trPr>
        <w:tc>
          <w:tcPr>
            <w:tcW w:w="2016" w:type="dxa"/>
          </w:tcPr>
          <w:p w14:paraId="1F55571A" w14:textId="77777777" w:rsidR="00195CF9" w:rsidRPr="00EF6CBF" w:rsidRDefault="00195CF9" w:rsidP="00B443FA">
            <w:r w:rsidRPr="00EF6CBF">
              <w:t>F15.20 – F15.29</w:t>
            </w:r>
          </w:p>
        </w:tc>
        <w:tc>
          <w:tcPr>
            <w:tcW w:w="7609" w:type="dxa"/>
          </w:tcPr>
          <w:p w14:paraId="27FB3B1E" w14:textId="77777777" w:rsidR="00195CF9" w:rsidRPr="00EF6CBF" w:rsidRDefault="00195CF9" w:rsidP="00B443FA">
            <w:r w:rsidRPr="00EF6CBF">
              <w:t>Other stimulant dependence [injection drug use]</w:t>
            </w:r>
          </w:p>
        </w:tc>
      </w:tr>
      <w:tr w:rsidR="00195CF9" w:rsidRPr="00EF6CBF" w14:paraId="662149A9" w14:textId="77777777" w:rsidTr="00280C6C">
        <w:trPr>
          <w:cantSplit/>
        </w:trPr>
        <w:tc>
          <w:tcPr>
            <w:tcW w:w="2016" w:type="dxa"/>
          </w:tcPr>
          <w:p w14:paraId="62E142AC" w14:textId="77777777" w:rsidR="00195CF9" w:rsidRPr="00EF6CBF" w:rsidRDefault="00195CF9" w:rsidP="00B443FA">
            <w:r w:rsidRPr="00EF6CBF">
              <w:t>F18.10 – F18.19</w:t>
            </w:r>
          </w:p>
        </w:tc>
        <w:tc>
          <w:tcPr>
            <w:tcW w:w="7609" w:type="dxa"/>
          </w:tcPr>
          <w:p w14:paraId="76C7B2BF" w14:textId="77777777" w:rsidR="00195CF9" w:rsidRPr="00EF6CBF" w:rsidRDefault="00195CF9" w:rsidP="00B443FA">
            <w:r w:rsidRPr="00EF6CBF">
              <w:t>Inhalant abuse</w:t>
            </w:r>
          </w:p>
        </w:tc>
      </w:tr>
      <w:tr w:rsidR="00195CF9" w:rsidRPr="00EF6CBF" w14:paraId="1512F3C1" w14:textId="77777777" w:rsidTr="00280C6C">
        <w:trPr>
          <w:cantSplit/>
        </w:trPr>
        <w:tc>
          <w:tcPr>
            <w:tcW w:w="2016" w:type="dxa"/>
          </w:tcPr>
          <w:p w14:paraId="2613D766" w14:textId="77777777" w:rsidR="00195CF9" w:rsidRPr="00EF6CBF" w:rsidRDefault="00195CF9" w:rsidP="00B443FA">
            <w:r w:rsidRPr="00EF6CBF">
              <w:t>F18.20 – F18.29</w:t>
            </w:r>
          </w:p>
        </w:tc>
        <w:tc>
          <w:tcPr>
            <w:tcW w:w="7609" w:type="dxa"/>
          </w:tcPr>
          <w:p w14:paraId="623B3952" w14:textId="77777777" w:rsidR="00195CF9" w:rsidRPr="00EF6CBF" w:rsidRDefault="00195CF9" w:rsidP="00B443FA">
            <w:r w:rsidRPr="00EF6CBF">
              <w:t>Inhalant dependence</w:t>
            </w:r>
          </w:p>
        </w:tc>
      </w:tr>
      <w:tr w:rsidR="00195CF9" w:rsidRPr="00EF6CBF" w14:paraId="3B65A826" w14:textId="77777777" w:rsidTr="00280C6C">
        <w:trPr>
          <w:cantSplit/>
        </w:trPr>
        <w:tc>
          <w:tcPr>
            <w:tcW w:w="2016" w:type="dxa"/>
          </w:tcPr>
          <w:p w14:paraId="131DFB59" w14:textId="77777777" w:rsidR="00195CF9" w:rsidRPr="00EF6CBF" w:rsidRDefault="00195CF9" w:rsidP="00B443FA">
            <w:r w:rsidRPr="00EF6CBF">
              <w:t>F19.10 – F19.19</w:t>
            </w:r>
          </w:p>
        </w:tc>
        <w:tc>
          <w:tcPr>
            <w:tcW w:w="7609" w:type="dxa"/>
          </w:tcPr>
          <w:p w14:paraId="00403CB5" w14:textId="77777777" w:rsidR="00195CF9" w:rsidRPr="00EF6CBF" w:rsidRDefault="00195CF9" w:rsidP="00B443FA">
            <w:r w:rsidRPr="00EF6CBF">
              <w:t>Other psychoactive substance abuse</w:t>
            </w:r>
          </w:p>
        </w:tc>
      </w:tr>
      <w:tr w:rsidR="00195CF9" w:rsidRPr="00EF6CBF" w14:paraId="6FD19F0C" w14:textId="77777777" w:rsidTr="00280C6C">
        <w:trPr>
          <w:cantSplit/>
        </w:trPr>
        <w:tc>
          <w:tcPr>
            <w:tcW w:w="2016" w:type="dxa"/>
          </w:tcPr>
          <w:p w14:paraId="45F07CB8" w14:textId="77777777" w:rsidR="00195CF9" w:rsidRPr="00EF6CBF" w:rsidRDefault="00195CF9" w:rsidP="00B443FA">
            <w:r w:rsidRPr="00EF6CBF">
              <w:t>F19.20 – F19.29</w:t>
            </w:r>
          </w:p>
        </w:tc>
        <w:tc>
          <w:tcPr>
            <w:tcW w:w="7609" w:type="dxa"/>
          </w:tcPr>
          <w:p w14:paraId="35ED6893" w14:textId="77777777" w:rsidR="00195CF9" w:rsidRPr="00EF6CBF" w:rsidRDefault="00195CF9" w:rsidP="00B443FA">
            <w:r w:rsidRPr="00EF6CBF">
              <w:t>Other psychoactive substance dependence</w:t>
            </w:r>
          </w:p>
        </w:tc>
      </w:tr>
      <w:tr w:rsidR="00195CF9" w:rsidRPr="00EF6CBF" w14:paraId="77131DF9" w14:textId="77777777" w:rsidTr="00280C6C">
        <w:trPr>
          <w:cantSplit/>
        </w:trPr>
        <w:tc>
          <w:tcPr>
            <w:tcW w:w="2016" w:type="dxa"/>
          </w:tcPr>
          <w:p w14:paraId="57CF92C8" w14:textId="77777777" w:rsidR="00195CF9" w:rsidRPr="00EF6CBF" w:rsidRDefault="00195CF9" w:rsidP="00B443FA">
            <w:r w:rsidRPr="00EF6CBF">
              <w:t>L29.2, L29.3</w:t>
            </w:r>
          </w:p>
        </w:tc>
        <w:tc>
          <w:tcPr>
            <w:tcW w:w="7609" w:type="dxa"/>
          </w:tcPr>
          <w:p w14:paraId="513EF393" w14:textId="77777777" w:rsidR="00195CF9" w:rsidRPr="00EF6CBF" w:rsidRDefault="00195CF9" w:rsidP="00B443FA">
            <w:r w:rsidRPr="00EF6CBF">
              <w:t>Pruritus of genitals</w:t>
            </w:r>
          </w:p>
        </w:tc>
      </w:tr>
      <w:tr w:rsidR="00195CF9" w:rsidRPr="00EF6CBF" w14:paraId="704368E6" w14:textId="77777777" w:rsidTr="00280C6C">
        <w:trPr>
          <w:cantSplit/>
        </w:trPr>
        <w:tc>
          <w:tcPr>
            <w:tcW w:w="2016" w:type="dxa"/>
          </w:tcPr>
          <w:p w14:paraId="3371D5EA" w14:textId="77777777" w:rsidR="00195CF9" w:rsidRPr="00EF6CBF" w:rsidRDefault="00195CF9" w:rsidP="00B443FA">
            <w:r w:rsidRPr="00EF6CBF">
              <w:t>N76.0 – N76.3</w:t>
            </w:r>
          </w:p>
        </w:tc>
        <w:tc>
          <w:tcPr>
            <w:tcW w:w="7609" w:type="dxa"/>
          </w:tcPr>
          <w:p w14:paraId="3128409C" w14:textId="77777777" w:rsidR="00195CF9" w:rsidRPr="00EF6CBF" w:rsidRDefault="00195CF9" w:rsidP="00B443FA">
            <w:r w:rsidRPr="00EF6CBF">
              <w:t>Vaginitis and vulvitis</w:t>
            </w:r>
          </w:p>
        </w:tc>
      </w:tr>
      <w:tr w:rsidR="00195CF9" w:rsidRPr="00EF6CBF" w14:paraId="56233861" w14:textId="77777777" w:rsidTr="00280C6C">
        <w:trPr>
          <w:cantSplit/>
        </w:trPr>
        <w:tc>
          <w:tcPr>
            <w:tcW w:w="2016" w:type="dxa"/>
          </w:tcPr>
          <w:p w14:paraId="651C43A7" w14:textId="77777777" w:rsidR="00195CF9" w:rsidRPr="00EF6CBF" w:rsidRDefault="00195CF9" w:rsidP="00B443FA">
            <w:r w:rsidRPr="00EF6CBF">
              <w:t>N77.1</w:t>
            </w:r>
          </w:p>
        </w:tc>
        <w:tc>
          <w:tcPr>
            <w:tcW w:w="7609" w:type="dxa"/>
          </w:tcPr>
          <w:p w14:paraId="085C4081" w14:textId="77777777" w:rsidR="00195CF9" w:rsidRPr="00EF6CBF" w:rsidRDefault="00195CF9" w:rsidP="00B443FA">
            <w:r w:rsidRPr="00EF6CBF">
              <w:t>Vaginitis, vulvitis, and vulvovaginitis in diseases classified elsewhere</w:t>
            </w:r>
          </w:p>
        </w:tc>
      </w:tr>
      <w:tr w:rsidR="001764A1" w:rsidRPr="00EF6CBF" w14:paraId="088B24C3" w14:textId="77777777" w:rsidTr="00280C6C">
        <w:trPr>
          <w:cantSplit/>
        </w:trPr>
        <w:tc>
          <w:tcPr>
            <w:tcW w:w="2016" w:type="dxa"/>
          </w:tcPr>
          <w:p w14:paraId="76382166" w14:textId="727EB178" w:rsidR="001764A1" w:rsidRPr="00EF6CBF" w:rsidRDefault="000E7980" w:rsidP="00B443FA">
            <w:r w:rsidRPr="002A0623">
              <w:t>N89.8</w:t>
            </w:r>
          </w:p>
        </w:tc>
        <w:tc>
          <w:tcPr>
            <w:tcW w:w="7609" w:type="dxa"/>
          </w:tcPr>
          <w:p w14:paraId="626645A8" w14:textId="7D1E6E62" w:rsidR="001764A1" w:rsidRPr="00EF6CBF" w:rsidRDefault="000E7980" w:rsidP="00B443FA">
            <w:r>
              <w:t>Other specific noninflammatory disorders of vagina</w:t>
            </w:r>
          </w:p>
        </w:tc>
      </w:tr>
      <w:tr w:rsidR="00195CF9" w:rsidRPr="00EF6CBF" w14:paraId="0A97E21D" w14:textId="77777777" w:rsidTr="00280C6C">
        <w:trPr>
          <w:cantSplit/>
        </w:trPr>
        <w:tc>
          <w:tcPr>
            <w:tcW w:w="2016" w:type="dxa"/>
          </w:tcPr>
          <w:p w14:paraId="2036BED3" w14:textId="77777777" w:rsidR="00195CF9" w:rsidRPr="00EF6CBF" w:rsidRDefault="00195CF9" w:rsidP="00B443FA">
            <w:r w:rsidRPr="00EF6CBF">
              <w:t>O23.</w:t>
            </w:r>
            <w:r>
              <w:t>511</w:t>
            </w:r>
            <w:r w:rsidRPr="00EF6CBF">
              <w:t>– O23.93</w:t>
            </w:r>
          </w:p>
        </w:tc>
        <w:tc>
          <w:tcPr>
            <w:tcW w:w="7609" w:type="dxa"/>
          </w:tcPr>
          <w:p w14:paraId="6F437978" w14:textId="77777777" w:rsidR="00195CF9" w:rsidRPr="00EF6CBF" w:rsidRDefault="00195CF9" w:rsidP="00B443FA">
            <w:r w:rsidRPr="00EF6CBF">
              <w:t>Infection of genitourinary tract in pregnancy</w:t>
            </w:r>
          </w:p>
        </w:tc>
      </w:tr>
      <w:tr w:rsidR="00195CF9" w:rsidRPr="00EF6CBF" w14:paraId="2F4151E2" w14:textId="77777777" w:rsidTr="00280C6C">
        <w:trPr>
          <w:cantSplit/>
        </w:trPr>
        <w:tc>
          <w:tcPr>
            <w:tcW w:w="2016" w:type="dxa"/>
          </w:tcPr>
          <w:p w14:paraId="7FCA2D33" w14:textId="77777777" w:rsidR="00195CF9" w:rsidRPr="00EF6CBF" w:rsidRDefault="00195CF9" w:rsidP="00B443FA">
            <w:r w:rsidRPr="00EF6CBF">
              <w:t>Z11.2*</w:t>
            </w:r>
          </w:p>
        </w:tc>
        <w:tc>
          <w:tcPr>
            <w:tcW w:w="7609" w:type="dxa"/>
          </w:tcPr>
          <w:p w14:paraId="0A35065A" w14:textId="77777777" w:rsidR="00195CF9" w:rsidRPr="00EF6CBF" w:rsidRDefault="00195CF9" w:rsidP="00B443FA">
            <w:r w:rsidRPr="00EF6CBF">
              <w:t>Encounter for screening for other bacterial diseases</w:t>
            </w:r>
          </w:p>
        </w:tc>
      </w:tr>
      <w:tr w:rsidR="00195CF9" w:rsidRPr="00EF6CBF" w14:paraId="65671147" w14:textId="77777777" w:rsidTr="00280C6C">
        <w:trPr>
          <w:cantSplit/>
        </w:trPr>
        <w:tc>
          <w:tcPr>
            <w:tcW w:w="2016" w:type="dxa"/>
          </w:tcPr>
          <w:p w14:paraId="77EF24DD" w14:textId="77777777" w:rsidR="00195CF9" w:rsidRPr="00EF6CBF" w:rsidRDefault="00195CF9" w:rsidP="00B443FA">
            <w:r w:rsidRPr="00EF6CBF">
              <w:t>Z11.8*</w:t>
            </w:r>
          </w:p>
        </w:tc>
        <w:tc>
          <w:tcPr>
            <w:tcW w:w="7609" w:type="dxa"/>
          </w:tcPr>
          <w:p w14:paraId="2C66235A" w14:textId="77777777" w:rsidR="00195CF9" w:rsidRPr="00EF6CBF" w:rsidRDefault="00195CF9" w:rsidP="00B443FA">
            <w:r w:rsidRPr="00EF6CBF">
              <w:t>Encounter for screening for other infectious and parasitic diseases (Trichomonas)</w:t>
            </w:r>
          </w:p>
        </w:tc>
      </w:tr>
      <w:tr w:rsidR="00195CF9" w:rsidRPr="00EF6CBF" w14:paraId="0C96316B" w14:textId="77777777" w:rsidTr="00280C6C">
        <w:trPr>
          <w:cantSplit/>
        </w:trPr>
        <w:tc>
          <w:tcPr>
            <w:tcW w:w="2016" w:type="dxa"/>
          </w:tcPr>
          <w:p w14:paraId="3E0ECBFA" w14:textId="77777777" w:rsidR="00195CF9" w:rsidRPr="00EF6CBF" w:rsidRDefault="00195CF9" w:rsidP="00B443FA">
            <w:r w:rsidRPr="00EF6CBF">
              <w:t>Z13.89*</w:t>
            </w:r>
          </w:p>
        </w:tc>
        <w:tc>
          <w:tcPr>
            <w:tcW w:w="7609" w:type="dxa"/>
          </w:tcPr>
          <w:p w14:paraId="58B400F9" w14:textId="77777777" w:rsidR="00195CF9" w:rsidRPr="00EF6CBF" w:rsidRDefault="00195CF9" w:rsidP="00B443FA">
            <w:r w:rsidRPr="00EF6CBF">
              <w:t xml:space="preserve">Encounter for screening for other genitourinary disorders </w:t>
            </w:r>
          </w:p>
        </w:tc>
      </w:tr>
      <w:tr w:rsidR="00195CF9" w:rsidRPr="00EF6CBF" w14:paraId="0C1D325A" w14:textId="77777777" w:rsidTr="00280C6C">
        <w:trPr>
          <w:cantSplit/>
        </w:trPr>
        <w:tc>
          <w:tcPr>
            <w:tcW w:w="2016" w:type="dxa"/>
          </w:tcPr>
          <w:p w14:paraId="78F28AFE" w14:textId="77777777" w:rsidR="00195CF9" w:rsidRPr="00EF6CBF" w:rsidRDefault="00195CF9" w:rsidP="00B443FA">
            <w:r w:rsidRPr="00EF6CBF">
              <w:t>Z72.51 – Z72.53</w:t>
            </w:r>
          </w:p>
        </w:tc>
        <w:tc>
          <w:tcPr>
            <w:tcW w:w="7609" w:type="dxa"/>
          </w:tcPr>
          <w:p w14:paraId="0BCB2A2A" w14:textId="77777777" w:rsidR="00195CF9" w:rsidRPr="00EF6CBF" w:rsidRDefault="00195CF9" w:rsidP="00B443FA">
            <w:r w:rsidRPr="00EF6CBF">
              <w:t>High risk sexual behavior [exchange of sex for payment, new or multiple partners]</w:t>
            </w:r>
          </w:p>
        </w:tc>
      </w:tr>
      <w:tr w:rsidR="00195CF9" w:rsidRPr="00EF6CBF" w14:paraId="1F0A3858" w14:textId="77777777" w:rsidTr="00280C6C">
        <w:trPr>
          <w:cantSplit/>
        </w:trPr>
        <w:tc>
          <w:tcPr>
            <w:tcW w:w="2016" w:type="dxa"/>
          </w:tcPr>
          <w:p w14:paraId="572156CC" w14:textId="77777777" w:rsidR="00195CF9" w:rsidRPr="00EF6CBF" w:rsidRDefault="00195CF9" w:rsidP="00B443FA">
            <w:r w:rsidRPr="00EF6CBF">
              <w:t>Z86.19</w:t>
            </w:r>
          </w:p>
        </w:tc>
        <w:tc>
          <w:tcPr>
            <w:tcW w:w="7609" w:type="dxa"/>
          </w:tcPr>
          <w:p w14:paraId="350BC17A" w14:textId="77777777" w:rsidR="00195CF9" w:rsidRPr="00EF6CBF" w:rsidRDefault="00195CF9" w:rsidP="00B443FA">
            <w:r w:rsidRPr="00EF6CBF">
              <w:t>Personal history of other infectious and parasitic diseases [history of STDs]</w:t>
            </w:r>
          </w:p>
        </w:tc>
      </w:tr>
    </w:tbl>
    <w:p w14:paraId="66204555" w14:textId="77777777" w:rsidR="00195CF9" w:rsidRDefault="00195CF9" w:rsidP="00195CF9"/>
    <w:p w14:paraId="658E1EAB" w14:textId="6F480037" w:rsidR="007043AE" w:rsidRDefault="004A2488" w:rsidP="00A74DFA">
      <w:pPr>
        <w:rPr>
          <w:b/>
        </w:rPr>
      </w:pPr>
      <w:r w:rsidRPr="00EF6CBF">
        <w:t>*ICD-10 codes Z11.2, Z11.8, and Z11.89 should be used with one of the drug abuse or dependence codes in the F series above.</w:t>
      </w:r>
    </w:p>
    <w:p w14:paraId="219E8C18" w14:textId="77777777" w:rsidR="007043AE" w:rsidRDefault="007043AE" w:rsidP="00A74DFA">
      <w:pPr>
        <w:rPr>
          <w:b/>
        </w:rPr>
      </w:pPr>
    </w:p>
    <w:p w14:paraId="2CF99F95" w14:textId="0484C6DE" w:rsidR="00026124" w:rsidRPr="00E60621" w:rsidRDefault="00C5582B" w:rsidP="00A74DFA">
      <w:pPr>
        <w:rPr>
          <w:b/>
        </w:rPr>
      </w:pPr>
      <w:r w:rsidRPr="00E60621">
        <w:rPr>
          <w:b/>
        </w:rPr>
        <w:t xml:space="preserve">Table 3.  </w:t>
      </w:r>
      <w:r w:rsidR="00280C6C">
        <w:rPr>
          <w:b/>
        </w:rPr>
        <w:t>CPT</w:t>
      </w:r>
      <w:r w:rsidRPr="00E60621">
        <w:rPr>
          <w:b/>
        </w:rPr>
        <w:t xml:space="preserve"> </w:t>
      </w:r>
      <w:r w:rsidR="007A5D8A">
        <w:rPr>
          <w:b/>
        </w:rPr>
        <w:t>c</w:t>
      </w:r>
      <w:r w:rsidRPr="00E60621">
        <w:rPr>
          <w:b/>
        </w:rPr>
        <w:t xml:space="preserve">odes </w:t>
      </w:r>
      <w:r>
        <w:rPr>
          <w:b/>
        </w:rPr>
        <w:t>c</w:t>
      </w:r>
      <w:r w:rsidRPr="00E60621">
        <w:rPr>
          <w:b/>
        </w:rPr>
        <w:t xml:space="preserve">onsidered </w:t>
      </w:r>
      <w:r>
        <w:rPr>
          <w:b/>
        </w:rPr>
        <w:t>n</w:t>
      </w:r>
      <w:r w:rsidRPr="00E60621">
        <w:rPr>
          <w:b/>
        </w:rPr>
        <w:t xml:space="preserve">ot </w:t>
      </w:r>
      <w:r>
        <w:rPr>
          <w:b/>
        </w:rPr>
        <w:t>m</w:t>
      </w:r>
      <w:r w:rsidRPr="00E60621">
        <w:rPr>
          <w:b/>
        </w:rPr>
        <w:t xml:space="preserve">edically </w:t>
      </w:r>
      <w:r>
        <w:rPr>
          <w:b/>
        </w:rPr>
        <w:t>n</w:t>
      </w:r>
      <w:r w:rsidRPr="00E60621">
        <w:rPr>
          <w:b/>
        </w:rPr>
        <w:t xml:space="preserve">ecessary </w:t>
      </w:r>
      <w:r w:rsidR="00026124" w:rsidRPr="00E60621">
        <w:rPr>
          <w:b/>
        </w:rPr>
        <w:t>unless an exception is noted in this policy.</w:t>
      </w:r>
    </w:p>
    <w:tbl>
      <w:tblPr>
        <w:tblStyle w:val="TableGrid"/>
        <w:tblW w:w="5147" w:type="pct"/>
        <w:tblLook w:val="0020" w:firstRow="1" w:lastRow="0" w:firstColumn="0" w:lastColumn="0" w:noHBand="0" w:noVBand="0"/>
      </w:tblPr>
      <w:tblGrid>
        <w:gridCol w:w="1102"/>
        <w:gridCol w:w="8523"/>
      </w:tblGrid>
      <w:tr w:rsidR="00195CF9" w:rsidRPr="00EF6CBF" w14:paraId="14B3E6EF" w14:textId="77777777" w:rsidTr="00280C6C">
        <w:trPr>
          <w:cantSplit/>
          <w:tblHeader/>
        </w:trPr>
        <w:tc>
          <w:tcPr>
            <w:tcW w:w="1102" w:type="dxa"/>
            <w:shd w:val="clear" w:color="auto" w:fill="00548C"/>
          </w:tcPr>
          <w:p w14:paraId="4773235A" w14:textId="77777777" w:rsidR="00195CF9" w:rsidRPr="00EF6CBF" w:rsidRDefault="00195CF9" w:rsidP="00B443FA">
            <w:pPr>
              <w:rPr>
                <w:b/>
                <w:bCs/>
                <w:color w:val="FFFFFF"/>
              </w:rPr>
            </w:pPr>
            <w:r w:rsidRPr="00EF6CBF">
              <w:rPr>
                <w:b/>
                <w:color w:val="FFFFFF"/>
              </w:rPr>
              <w:t>CPT</w:t>
            </w:r>
            <w:r w:rsidRPr="00EF6CBF">
              <w:rPr>
                <w:b/>
                <w:color w:val="FFFFFF"/>
                <w:vertAlign w:val="superscript"/>
              </w:rPr>
              <w:t xml:space="preserve"> </w:t>
            </w:r>
            <w:r w:rsidRPr="00EF6CBF">
              <w:rPr>
                <w:b/>
                <w:color w:val="FFFFFF"/>
              </w:rPr>
              <w:t xml:space="preserve">Codes </w:t>
            </w:r>
          </w:p>
        </w:tc>
        <w:tc>
          <w:tcPr>
            <w:tcW w:w="8523" w:type="dxa"/>
            <w:shd w:val="clear" w:color="auto" w:fill="00548C"/>
          </w:tcPr>
          <w:p w14:paraId="27201434" w14:textId="77777777" w:rsidR="00195CF9" w:rsidRPr="00EF6CBF" w:rsidRDefault="00195CF9" w:rsidP="00B443FA">
            <w:pPr>
              <w:rPr>
                <w:b/>
                <w:bCs/>
                <w:color w:val="FFFFFF"/>
              </w:rPr>
            </w:pPr>
            <w:r w:rsidRPr="00EF6CBF">
              <w:rPr>
                <w:b/>
                <w:color w:val="FFFFFF"/>
              </w:rPr>
              <w:t>Description</w:t>
            </w:r>
          </w:p>
        </w:tc>
      </w:tr>
      <w:tr w:rsidR="00195CF9" w:rsidRPr="00EF6CBF" w14:paraId="127C5A64" w14:textId="77777777" w:rsidTr="00280C6C">
        <w:trPr>
          <w:cantSplit/>
        </w:trPr>
        <w:tc>
          <w:tcPr>
            <w:tcW w:w="1102" w:type="dxa"/>
          </w:tcPr>
          <w:p w14:paraId="54AF22B5" w14:textId="77777777" w:rsidR="00195CF9" w:rsidRPr="00EF6CBF" w:rsidRDefault="00195CF9" w:rsidP="00B443FA">
            <w:r w:rsidRPr="00EF6CBF">
              <w:t>87481</w:t>
            </w:r>
          </w:p>
        </w:tc>
        <w:tc>
          <w:tcPr>
            <w:tcW w:w="8523" w:type="dxa"/>
          </w:tcPr>
          <w:p w14:paraId="5DD36952" w14:textId="77777777" w:rsidR="00195CF9" w:rsidRPr="00EF6CBF" w:rsidRDefault="00195CF9" w:rsidP="00B443FA">
            <w:r w:rsidRPr="00EF6CBF">
              <w:t>Infectious agent detection by nucleic acid (DNA or RNA); Candida species, amplified probe technique</w:t>
            </w:r>
          </w:p>
        </w:tc>
      </w:tr>
      <w:tr w:rsidR="00195CF9" w:rsidRPr="00EF6CBF" w14:paraId="41B1AECD" w14:textId="77777777" w:rsidTr="00280C6C">
        <w:trPr>
          <w:cantSplit/>
        </w:trPr>
        <w:tc>
          <w:tcPr>
            <w:tcW w:w="1102" w:type="dxa"/>
          </w:tcPr>
          <w:p w14:paraId="47A45B82" w14:textId="77777777" w:rsidR="00195CF9" w:rsidRPr="00EF6CBF" w:rsidRDefault="00195CF9" w:rsidP="00B443FA">
            <w:r w:rsidRPr="00EF6CBF">
              <w:t>87511</w:t>
            </w:r>
          </w:p>
        </w:tc>
        <w:tc>
          <w:tcPr>
            <w:tcW w:w="8523" w:type="dxa"/>
          </w:tcPr>
          <w:p w14:paraId="07577860" w14:textId="77777777" w:rsidR="00195CF9" w:rsidRPr="00EF6CBF" w:rsidRDefault="00195CF9" w:rsidP="00B443FA">
            <w:r w:rsidRPr="00EF6CBF">
              <w:t>Infectious agent detection by nucleic acid (DNA or RNA); Gardnerella vaginalis, amplified probe technique</w:t>
            </w:r>
          </w:p>
        </w:tc>
      </w:tr>
    </w:tbl>
    <w:p w14:paraId="2CF99F9F" w14:textId="77777777" w:rsidR="00350F22" w:rsidRDefault="00350F22" w:rsidP="00AF5490"/>
    <w:p w14:paraId="2CF99FA0" w14:textId="1452E096" w:rsidR="00C5582B" w:rsidRPr="002A0623" w:rsidRDefault="00C5582B" w:rsidP="00AF5490">
      <w:pPr>
        <w:rPr>
          <w:b/>
        </w:rPr>
      </w:pPr>
      <w:r w:rsidRPr="002A0623">
        <w:rPr>
          <w:b/>
        </w:rPr>
        <w:t xml:space="preserve">Table 4. </w:t>
      </w:r>
      <w:r w:rsidR="00280C6C">
        <w:rPr>
          <w:b/>
        </w:rPr>
        <w:t>CPT</w:t>
      </w:r>
      <w:r w:rsidR="005A7B1F">
        <w:rPr>
          <w:b/>
        </w:rPr>
        <w:t xml:space="preserve"> </w:t>
      </w:r>
      <w:r w:rsidRPr="002A0623">
        <w:rPr>
          <w:b/>
        </w:rPr>
        <w:t>codes considered not medically necessary when billed with an ICD-10-CM code listed in Table 5 below.</w:t>
      </w:r>
    </w:p>
    <w:tbl>
      <w:tblPr>
        <w:tblStyle w:val="TableGrid"/>
        <w:tblW w:w="5147" w:type="pct"/>
        <w:tblLook w:val="0020" w:firstRow="1" w:lastRow="0" w:firstColumn="0" w:lastColumn="0" w:noHBand="0" w:noVBand="0"/>
      </w:tblPr>
      <w:tblGrid>
        <w:gridCol w:w="1105"/>
        <w:gridCol w:w="8520"/>
      </w:tblGrid>
      <w:tr w:rsidR="00195CF9" w:rsidRPr="00EF6CBF" w14:paraId="4AFBA30F" w14:textId="77777777" w:rsidTr="00280C6C">
        <w:trPr>
          <w:cantSplit/>
          <w:tblHeader/>
        </w:trPr>
        <w:tc>
          <w:tcPr>
            <w:tcW w:w="1105" w:type="dxa"/>
            <w:shd w:val="clear" w:color="auto" w:fill="00548C"/>
          </w:tcPr>
          <w:p w14:paraId="4A6B9313" w14:textId="77777777" w:rsidR="00195CF9" w:rsidRPr="00EF6CBF" w:rsidRDefault="00195CF9" w:rsidP="00B443FA">
            <w:pPr>
              <w:rPr>
                <w:b/>
                <w:bCs/>
                <w:color w:val="FFFFFF"/>
              </w:rPr>
            </w:pPr>
            <w:r w:rsidRPr="00EF6CBF">
              <w:rPr>
                <w:b/>
                <w:color w:val="FFFFFF"/>
              </w:rPr>
              <w:t>CPT</w:t>
            </w:r>
            <w:r w:rsidRPr="00EF6CBF">
              <w:rPr>
                <w:b/>
                <w:color w:val="FFFFFF"/>
                <w:vertAlign w:val="superscript"/>
              </w:rPr>
              <w:t xml:space="preserve"> </w:t>
            </w:r>
            <w:r w:rsidRPr="00EF6CBF">
              <w:rPr>
                <w:b/>
                <w:color w:val="FFFFFF"/>
              </w:rPr>
              <w:t xml:space="preserve">Codes </w:t>
            </w:r>
          </w:p>
        </w:tc>
        <w:tc>
          <w:tcPr>
            <w:tcW w:w="8520" w:type="dxa"/>
            <w:shd w:val="clear" w:color="auto" w:fill="00548C"/>
          </w:tcPr>
          <w:p w14:paraId="1BF617CC" w14:textId="77777777" w:rsidR="00195CF9" w:rsidRPr="00EF6CBF" w:rsidRDefault="00195CF9" w:rsidP="00B443FA">
            <w:pPr>
              <w:rPr>
                <w:b/>
                <w:bCs/>
                <w:color w:val="FFFFFF"/>
              </w:rPr>
            </w:pPr>
            <w:r w:rsidRPr="00EF6CBF">
              <w:rPr>
                <w:b/>
                <w:color w:val="FFFFFF"/>
              </w:rPr>
              <w:t>Description</w:t>
            </w:r>
          </w:p>
        </w:tc>
      </w:tr>
      <w:tr w:rsidR="00195CF9" w:rsidRPr="00EF6CBF" w14:paraId="3304E539" w14:textId="77777777" w:rsidTr="00280C6C">
        <w:trPr>
          <w:cantSplit/>
        </w:trPr>
        <w:tc>
          <w:tcPr>
            <w:tcW w:w="1105" w:type="dxa"/>
          </w:tcPr>
          <w:p w14:paraId="32AB47E6" w14:textId="77777777" w:rsidR="00195CF9" w:rsidRPr="00EF6CBF" w:rsidRDefault="00195CF9" w:rsidP="00B443FA">
            <w:r w:rsidRPr="00A20ADE">
              <w:t>87798</w:t>
            </w:r>
          </w:p>
        </w:tc>
        <w:tc>
          <w:tcPr>
            <w:tcW w:w="8520" w:type="dxa"/>
          </w:tcPr>
          <w:p w14:paraId="6FF20709" w14:textId="77777777" w:rsidR="00195CF9" w:rsidRPr="00EF6CBF" w:rsidRDefault="00195CF9" w:rsidP="00B443FA">
            <w:r w:rsidRPr="00A75427">
              <w:rPr>
                <w:shd w:val="clear" w:color="auto" w:fill="FFFFFF"/>
              </w:rPr>
              <w:t>Infectious agent detection by nucleic acid (DNA or RNA), not otherwise specified; amplified probe technique, each organism</w:t>
            </w:r>
          </w:p>
        </w:tc>
      </w:tr>
    </w:tbl>
    <w:p w14:paraId="2CF99FA7" w14:textId="77777777" w:rsidR="00C5582B" w:rsidRDefault="00C5582B" w:rsidP="00AF5490"/>
    <w:p w14:paraId="2CF99FA8" w14:textId="63F8B011" w:rsidR="00E63D27" w:rsidRDefault="007A5D8A" w:rsidP="00E63D27">
      <w:pPr>
        <w:rPr>
          <w:b/>
        </w:rPr>
      </w:pPr>
      <w:r w:rsidRPr="00C25F92">
        <w:rPr>
          <w:b/>
        </w:rPr>
        <w:t xml:space="preserve">Table </w:t>
      </w:r>
      <w:r>
        <w:rPr>
          <w:b/>
        </w:rPr>
        <w:t>5</w:t>
      </w:r>
      <w:r w:rsidRPr="00C25F92">
        <w:rPr>
          <w:b/>
        </w:rPr>
        <w:t xml:space="preserve">. </w:t>
      </w:r>
      <w:r>
        <w:rPr>
          <w:b/>
        </w:rPr>
        <w:t xml:space="preserve"> </w:t>
      </w:r>
      <w:r w:rsidR="00E63D27" w:rsidRPr="00EF6CBF">
        <w:rPr>
          <w:b/>
        </w:rPr>
        <w:t xml:space="preserve">ICD-10-CM </w:t>
      </w:r>
      <w:r w:rsidR="00280C6C">
        <w:rPr>
          <w:b/>
        </w:rPr>
        <w:t>d</w:t>
      </w:r>
      <w:r w:rsidR="00E63D27" w:rsidRPr="00EF6CBF">
        <w:rPr>
          <w:b/>
        </w:rPr>
        <w:t xml:space="preserve">iagnosis </w:t>
      </w:r>
      <w:r>
        <w:rPr>
          <w:b/>
        </w:rPr>
        <w:t>c</w:t>
      </w:r>
      <w:r w:rsidRPr="00EF6CBF">
        <w:rPr>
          <w:b/>
        </w:rPr>
        <w:t xml:space="preserve">odes </w:t>
      </w:r>
      <w:r w:rsidR="00E63D27">
        <w:rPr>
          <w:b/>
        </w:rPr>
        <w:t>considered not medically necessary when billed with CPT code 87798</w:t>
      </w:r>
      <w:r>
        <w:rPr>
          <w:b/>
        </w:rPr>
        <w:t xml:space="preserve"> per this policy.</w:t>
      </w:r>
    </w:p>
    <w:tbl>
      <w:tblPr>
        <w:tblStyle w:val="TableGrid"/>
        <w:tblW w:w="5147" w:type="pct"/>
        <w:tblLook w:val="0020" w:firstRow="1" w:lastRow="0" w:firstColumn="0" w:lastColumn="0" w:noHBand="0" w:noVBand="0"/>
      </w:tblPr>
      <w:tblGrid>
        <w:gridCol w:w="2155"/>
        <w:gridCol w:w="7470"/>
      </w:tblGrid>
      <w:tr w:rsidR="00195CF9" w:rsidRPr="00EF6CBF" w14:paraId="77811856" w14:textId="77777777" w:rsidTr="00280C6C">
        <w:trPr>
          <w:cantSplit/>
          <w:tblHeader/>
        </w:trPr>
        <w:tc>
          <w:tcPr>
            <w:tcW w:w="2155" w:type="dxa"/>
            <w:shd w:val="clear" w:color="auto" w:fill="00548C"/>
          </w:tcPr>
          <w:p w14:paraId="2C991156" w14:textId="77777777" w:rsidR="00195CF9" w:rsidRPr="00EF6CBF" w:rsidRDefault="00195CF9" w:rsidP="00B443FA">
            <w:pPr>
              <w:rPr>
                <w:b/>
                <w:bCs/>
                <w:color w:val="FFFFFF"/>
              </w:rPr>
            </w:pPr>
            <w:r w:rsidRPr="00EF6CBF">
              <w:rPr>
                <w:b/>
                <w:color w:val="FFFFFF"/>
              </w:rPr>
              <w:t>ICD-10-CM Code</w:t>
            </w:r>
          </w:p>
        </w:tc>
        <w:tc>
          <w:tcPr>
            <w:tcW w:w="7470" w:type="dxa"/>
            <w:shd w:val="clear" w:color="auto" w:fill="00548C"/>
          </w:tcPr>
          <w:p w14:paraId="073AD81A" w14:textId="77777777" w:rsidR="00195CF9" w:rsidRPr="00EF6CBF" w:rsidRDefault="00195CF9" w:rsidP="00B443FA">
            <w:pPr>
              <w:rPr>
                <w:b/>
                <w:bCs/>
                <w:color w:val="FFFFFF"/>
              </w:rPr>
            </w:pPr>
            <w:r w:rsidRPr="00EF6CBF">
              <w:rPr>
                <w:b/>
                <w:color w:val="FFFFFF"/>
              </w:rPr>
              <w:t>Description</w:t>
            </w:r>
          </w:p>
        </w:tc>
      </w:tr>
      <w:tr w:rsidR="00195CF9" w:rsidRPr="002A0623" w14:paraId="49F4D427" w14:textId="77777777" w:rsidTr="00280C6C">
        <w:tblPrEx>
          <w:tblLook w:val="04A0" w:firstRow="1" w:lastRow="0" w:firstColumn="1" w:lastColumn="0" w:noHBand="0" w:noVBand="1"/>
        </w:tblPrEx>
        <w:trPr>
          <w:cantSplit/>
          <w:trHeight w:val="300"/>
        </w:trPr>
        <w:tc>
          <w:tcPr>
            <w:tcW w:w="2155" w:type="dxa"/>
            <w:noWrap/>
            <w:hideMark/>
          </w:tcPr>
          <w:p w14:paraId="2E8F929B" w14:textId="77777777" w:rsidR="00195CF9" w:rsidRPr="002A0623" w:rsidRDefault="00195CF9" w:rsidP="00B443FA">
            <w:r w:rsidRPr="002A0623">
              <w:t>N39.0</w:t>
            </w:r>
          </w:p>
        </w:tc>
        <w:tc>
          <w:tcPr>
            <w:tcW w:w="7470" w:type="dxa"/>
            <w:noWrap/>
          </w:tcPr>
          <w:p w14:paraId="54F8056C" w14:textId="77777777" w:rsidR="00195CF9" w:rsidRPr="002A0623" w:rsidRDefault="00195CF9" w:rsidP="00B443FA">
            <w:r w:rsidRPr="002A0623">
              <w:t>Urinary tract infection, site not specified</w:t>
            </w:r>
          </w:p>
        </w:tc>
      </w:tr>
      <w:tr w:rsidR="00195CF9" w:rsidRPr="002A0623" w14:paraId="2F7095F4" w14:textId="77777777" w:rsidTr="00280C6C">
        <w:tblPrEx>
          <w:tblLook w:val="04A0" w:firstRow="1" w:lastRow="0" w:firstColumn="1" w:lastColumn="0" w:noHBand="0" w:noVBand="1"/>
        </w:tblPrEx>
        <w:trPr>
          <w:cantSplit/>
          <w:trHeight w:val="315"/>
        </w:trPr>
        <w:tc>
          <w:tcPr>
            <w:tcW w:w="2155" w:type="dxa"/>
            <w:noWrap/>
            <w:hideMark/>
          </w:tcPr>
          <w:p w14:paraId="507BC6CA" w14:textId="77777777" w:rsidR="00195CF9" w:rsidRPr="002A0623" w:rsidRDefault="00195CF9" w:rsidP="00B443FA">
            <w:r w:rsidRPr="002A0623">
              <w:t>N72</w:t>
            </w:r>
          </w:p>
        </w:tc>
        <w:tc>
          <w:tcPr>
            <w:tcW w:w="7470" w:type="dxa"/>
            <w:noWrap/>
          </w:tcPr>
          <w:p w14:paraId="37861F6E" w14:textId="77777777" w:rsidR="00195CF9" w:rsidRPr="002A0623" w:rsidRDefault="00195CF9" w:rsidP="00B443FA">
            <w:r w:rsidRPr="002A0623">
              <w:t>Inflammatory disease of cervix uteri</w:t>
            </w:r>
          </w:p>
        </w:tc>
      </w:tr>
      <w:tr w:rsidR="00195CF9" w:rsidRPr="002A0623" w14:paraId="4A6377E6" w14:textId="77777777" w:rsidTr="00280C6C">
        <w:tblPrEx>
          <w:tblLook w:val="04A0" w:firstRow="1" w:lastRow="0" w:firstColumn="1" w:lastColumn="0" w:noHBand="0" w:noVBand="1"/>
        </w:tblPrEx>
        <w:trPr>
          <w:cantSplit/>
          <w:trHeight w:val="315"/>
        </w:trPr>
        <w:tc>
          <w:tcPr>
            <w:tcW w:w="2155" w:type="dxa"/>
            <w:noWrap/>
            <w:hideMark/>
          </w:tcPr>
          <w:p w14:paraId="0D358710" w14:textId="77777777" w:rsidR="00195CF9" w:rsidRPr="002A0623" w:rsidRDefault="00195CF9" w:rsidP="00B443FA">
            <w:r w:rsidRPr="002A0623">
              <w:t>N76.0</w:t>
            </w:r>
          </w:p>
        </w:tc>
        <w:tc>
          <w:tcPr>
            <w:tcW w:w="7470" w:type="dxa"/>
            <w:noWrap/>
          </w:tcPr>
          <w:p w14:paraId="598B26FC" w14:textId="77777777" w:rsidR="00195CF9" w:rsidRPr="002A0623" w:rsidRDefault="00195CF9" w:rsidP="00B443FA">
            <w:r w:rsidRPr="002A0623">
              <w:t>Acute vaginitis</w:t>
            </w:r>
          </w:p>
        </w:tc>
      </w:tr>
      <w:tr w:rsidR="00195CF9" w:rsidRPr="002A0623" w14:paraId="4364FE65" w14:textId="77777777" w:rsidTr="00280C6C">
        <w:tblPrEx>
          <w:tblLook w:val="04A0" w:firstRow="1" w:lastRow="0" w:firstColumn="1" w:lastColumn="0" w:noHBand="0" w:noVBand="1"/>
        </w:tblPrEx>
        <w:trPr>
          <w:cantSplit/>
          <w:trHeight w:val="300"/>
        </w:trPr>
        <w:tc>
          <w:tcPr>
            <w:tcW w:w="2155" w:type="dxa"/>
            <w:noWrap/>
            <w:hideMark/>
          </w:tcPr>
          <w:p w14:paraId="64FB910A" w14:textId="77777777" w:rsidR="00195CF9" w:rsidRPr="002A0623" w:rsidRDefault="00195CF9" w:rsidP="00B443FA">
            <w:r w:rsidRPr="002A0623">
              <w:t>N76.2</w:t>
            </w:r>
          </w:p>
        </w:tc>
        <w:tc>
          <w:tcPr>
            <w:tcW w:w="7470" w:type="dxa"/>
            <w:noWrap/>
          </w:tcPr>
          <w:p w14:paraId="21F80859" w14:textId="77777777" w:rsidR="00195CF9" w:rsidRPr="002A0623" w:rsidRDefault="00195CF9" w:rsidP="00B443FA">
            <w:r w:rsidRPr="002A0623">
              <w:t>Acute vulvitis</w:t>
            </w:r>
          </w:p>
        </w:tc>
      </w:tr>
      <w:tr w:rsidR="00195CF9" w:rsidRPr="002A0623" w14:paraId="1F4FEF69" w14:textId="77777777" w:rsidTr="00280C6C">
        <w:tblPrEx>
          <w:tblLook w:val="04A0" w:firstRow="1" w:lastRow="0" w:firstColumn="1" w:lastColumn="0" w:noHBand="0" w:noVBand="1"/>
        </w:tblPrEx>
        <w:trPr>
          <w:cantSplit/>
          <w:trHeight w:val="315"/>
        </w:trPr>
        <w:tc>
          <w:tcPr>
            <w:tcW w:w="2155" w:type="dxa"/>
            <w:noWrap/>
            <w:hideMark/>
          </w:tcPr>
          <w:p w14:paraId="25F557B0" w14:textId="77777777" w:rsidR="00195CF9" w:rsidRPr="002A0623" w:rsidRDefault="00195CF9" w:rsidP="00B443FA">
            <w:r w:rsidRPr="002A0623">
              <w:t>N89.9</w:t>
            </w:r>
          </w:p>
        </w:tc>
        <w:tc>
          <w:tcPr>
            <w:tcW w:w="7470" w:type="dxa"/>
            <w:noWrap/>
          </w:tcPr>
          <w:p w14:paraId="5031BDEC" w14:textId="77777777" w:rsidR="00195CF9" w:rsidRPr="002A0623" w:rsidRDefault="00195CF9" w:rsidP="00B443FA">
            <w:r w:rsidRPr="002A0623">
              <w:t>Noninflammatory disorder of vagina, unspecified</w:t>
            </w:r>
          </w:p>
        </w:tc>
      </w:tr>
      <w:tr w:rsidR="00195CF9" w:rsidRPr="002A0623" w14:paraId="645E7E9E" w14:textId="77777777" w:rsidTr="00280C6C">
        <w:tblPrEx>
          <w:tblLook w:val="04A0" w:firstRow="1" w:lastRow="0" w:firstColumn="1" w:lastColumn="0" w:noHBand="0" w:noVBand="1"/>
        </w:tblPrEx>
        <w:trPr>
          <w:cantSplit/>
          <w:trHeight w:val="300"/>
        </w:trPr>
        <w:tc>
          <w:tcPr>
            <w:tcW w:w="2155" w:type="dxa"/>
            <w:noWrap/>
            <w:hideMark/>
          </w:tcPr>
          <w:p w14:paraId="58A05F77" w14:textId="77777777" w:rsidR="00195CF9" w:rsidRPr="002A0623" w:rsidRDefault="00195CF9" w:rsidP="00B443FA">
            <w:r w:rsidRPr="002A0623">
              <w:t>N90.89</w:t>
            </w:r>
          </w:p>
        </w:tc>
        <w:tc>
          <w:tcPr>
            <w:tcW w:w="7470" w:type="dxa"/>
            <w:noWrap/>
          </w:tcPr>
          <w:p w14:paraId="1B7B4DA5" w14:textId="77777777" w:rsidR="00195CF9" w:rsidRPr="002A0623" w:rsidRDefault="00195CF9" w:rsidP="00B443FA">
            <w:r w:rsidRPr="002A0623">
              <w:t>Other specified noninflammatory disorders of vulva and perineum</w:t>
            </w:r>
          </w:p>
        </w:tc>
      </w:tr>
      <w:tr w:rsidR="00195CF9" w:rsidRPr="002A0623" w14:paraId="23830530" w14:textId="77777777" w:rsidTr="00280C6C">
        <w:tblPrEx>
          <w:tblLook w:val="04A0" w:firstRow="1" w:lastRow="0" w:firstColumn="1" w:lastColumn="0" w:noHBand="0" w:noVBand="1"/>
        </w:tblPrEx>
        <w:trPr>
          <w:cantSplit/>
          <w:trHeight w:val="300"/>
        </w:trPr>
        <w:tc>
          <w:tcPr>
            <w:tcW w:w="2155" w:type="dxa"/>
            <w:noWrap/>
            <w:hideMark/>
          </w:tcPr>
          <w:p w14:paraId="182C5EC6" w14:textId="77777777" w:rsidR="00195CF9" w:rsidRPr="002A0623" w:rsidRDefault="00195CF9" w:rsidP="00B443FA">
            <w:r w:rsidRPr="002A0623">
              <w:t>N90.9</w:t>
            </w:r>
          </w:p>
        </w:tc>
        <w:tc>
          <w:tcPr>
            <w:tcW w:w="7470" w:type="dxa"/>
            <w:noWrap/>
          </w:tcPr>
          <w:p w14:paraId="793C9091" w14:textId="77777777" w:rsidR="00195CF9" w:rsidRPr="002A0623" w:rsidRDefault="00195CF9" w:rsidP="00B443FA">
            <w:r w:rsidRPr="002A0623">
              <w:t>Noninflammatory disorder of vulva and perineum, unspecified</w:t>
            </w:r>
          </w:p>
        </w:tc>
      </w:tr>
      <w:tr w:rsidR="00195CF9" w:rsidRPr="002A0623" w14:paraId="5F4DD4A0" w14:textId="77777777" w:rsidTr="00280C6C">
        <w:tblPrEx>
          <w:tblLook w:val="04A0" w:firstRow="1" w:lastRow="0" w:firstColumn="1" w:lastColumn="0" w:noHBand="0" w:noVBand="1"/>
        </w:tblPrEx>
        <w:trPr>
          <w:cantSplit/>
          <w:trHeight w:val="300"/>
        </w:trPr>
        <w:tc>
          <w:tcPr>
            <w:tcW w:w="2155" w:type="dxa"/>
            <w:noWrap/>
            <w:hideMark/>
          </w:tcPr>
          <w:p w14:paraId="746AB550" w14:textId="77777777" w:rsidR="00195CF9" w:rsidRPr="002A0623" w:rsidRDefault="00195CF9" w:rsidP="00B443FA">
            <w:r w:rsidRPr="002A0623">
              <w:t>N91.0 – N91.5</w:t>
            </w:r>
          </w:p>
        </w:tc>
        <w:tc>
          <w:tcPr>
            <w:tcW w:w="7470" w:type="dxa"/>
            <w:noWrap/>
          </w:tcPr>
          <w:p w14:paraId="3CBAA4B7" w14:textId="77777777" w:rsidR="00195CF9" w:rsidRPr="002A0623" w:rsidRDefault="00195CF9" w:rsidP="00B443FA">
            <w:r w:rsidRPr="002A0623">
              <w:t>Absent, scanty and rare menstruation</w:t>
            </w:r>
          </w:p>
        </w:tc>
      </w:tr>
      <w:tr w:rsidR="00195CF9" w:rsidRPr="002A0623" w14:paraId="5430BFCA" w14:textId="77777777" w:rsidTr="00280C6C">
        <w:tblPrEx>
          <w:tblLook w:val="04A0" w:firstRow="1" w:lastRow="0" w:firstColumn="1" w:lastColumn="0" w:noHBand="0" w:noVBand="1"/>
        </w:tblPrEx>
        <w:trPr>
          <w:cantSplit/>
          <w:trHeight w:val="300"/>
        </w:trPr>
        <w:tc>
          <w:tcPr>
            <w:tcW w:w="2155" w:type="dxa"/>
            <w:noWrap/>
            <w:hideMark/>
          </w:tcPr>
          <w:p w14:paraId="47E2D74A" w14:textId="77777777" w:rsidR="00195CF9" w:rsidRPr="002A0623" w:rsidRDefault="00195CF9" w:rsidP="00B443FA">
            <w:r w:rsidRPr="002A0623">
              <w:t>N92.0</w:t>
            </w:r>
          </w:p>
        </w:tc>
        <w:tc>
          <w:tcPr>
            <w:tcW w:w="7470" w:type="dxa"/>
            <w:noWrap/>
          </w:tcPr>
          <w:p w14:paraId="646A1190" w14:textId="383D1FC3" w:rsidR="00195CF9" w:rsidRPr="002A0623" w:rsidRDefault="00195CF9" w:rsidP="003A7B05">
            <w:r w:rsidRPr="002A0623">
              <w:t>Excessive, frequent menstruation</w:t>
            </w:r>
            <w:r w:rsidR="003A7B05">
              <w:t xml:space="preserve"> with regular cycle</w:t>
            </w:r>
          </w:p>
        </w:tc>
      </w:tr>
      <w:tr w:rsidR="00195CF9" w:rsidRPr="002A0623" w14:paraId="7640EEA9" w14:textId="77777777" w:rsidTr="00280C6C">
        <w:tblPrEx>
          <w:tblLook w:val="04A0" w:firstRow="1" w:lastRow="0" w:firstColumn="1" w:lastColumn="0" w:noHBand="0" w:noVBand="1"/>
        </w:tblPrEx>
        <w:trPr>
          <w:cantSplit/>
          <w:trHeight w:val="300"/>
        </w:trPr>
        <w:tc>
          <w:tcPr>
            <w:tcW w:w="2155" w:type="dxa"/>
            <w:noWrap/>
            <w:hideMark/>
          </w:tcPr>
          <w:p w14:paraId="6D3A9999" w14:textId="77777777" w:rsidR="00195CF9" w:rsidRPr="002A0623" w:rsidRDefault="00195CF9" w:rsidP="00B443FA">
            <w:r w:rsidRPr="002A0623">
              <w:t>N93.0</w:t>
            </w:r>
          </w:p>
        </w:tc>
        <w:tc>
          <w:tcPr>
            <w:tcW w:w="7470" w:type="dxa"/>
            <w:noWrap/>
          </w:tcPr>
          <w:p w14:paraId="7C236E07" w14:textId="77777777" w:rsidR="00195CF9" w:rsidRPr="002A0623" w:rsidRDefault="00195CF9" w:rsidP="00B443FA">
            <w:r w:rsidRPr="002A0623">
              <w:t>Postcoital and contact bleeding</w:t>
            </w:r>
          </w:p>
        </w:tc>
      </w:tr>
      <w:tr w:rsidR="00195CF9" w:rsidRPr="002A0623" w14:paraId="2169D4C1" w14:textId="77777777" w:rsidTr="00280C6C">
        <w:tblPrEx>
          <w:tblLook w:val="04A0" w:firstRow="1" w:lastRow="0" w:firstColumn="1" w:lastColumn="0" w:noHBand="0" w:noVBand="1"/>
        </w:tblPrEx>
        <w:trPr>
          <w:cantSplit/>
          <w:trHeight w:val="300"/>
        </w:trPr>
        <w:tc>
          <w:tcPr>
            <w:tcW w:w="2155" w:type="dxa"/>
            <w:noWrap/>
            <w:hideMark/>
          </w:tcPr>
          <w:p w14:paraId="3410CDCB" w14:textId="77777777" w:rsidR="00195CF9" w:rsidRPr="002A0623" w:rsidRDefault="00195CF9" w:rsidP="00B443FA">
            <w:r w:rsidRPr="002A0623">
              <w:t>N93.8</w:t>
            </w:r>
          </w:p>
        </w:tc>
        <w:tc>
          <w:tcPr>
            <w:tcW w:w="7470" w:type="dxa"/>
            <w:noWrap/>
          </w:tcPr>
          <w:p w14:paraId="03B3BD17" w14:textId="77777777" w:rsidR="00195CF9" w:rsidRPr="002A0623" w:rsidRDefault="00195CF9" w:rsidP="00B443FA">
            <w:r w:rsidRPr="002A0623">
              <w:t>Other specified abnormal uterine and vaginal bleeding</w:t>
            </w:r>
          </w:p>
        </w:tc>
      </w:tr>
      <w:tr w:rsidR="00195CF9" w:rsidRPr="002A0623" w14:paraId="20F06DC8" w14:textId="77777777" w:rsidTr="00280C6C">
        <w:tblPrEx>
          <w:tblLook w:val="04A0" w:firstRow="1" w:lastRow="0" w:firstColumn="1" w:lastColumn="0" w:noHBand="0" w:noVBand="1"/>
        </w:tblPrEx>
        <w:trPr>
          <w:cantSplit/>
          <w:trHeight w:val="300"/>
        </w:trPr>
        <w:tc>
          <w:tcPr>
            <w:tcW w:w="2155" w:type="dxa"/>
            <w:noWrap/>
            <w:hideMark/>
          </w:tcPr>
          <w:p w14:paraId="7413A8D5" w14:textId="77777777" w:rsidR="00195CF9" w:rsidRPr="002A0623" w:rsidRDefault="00195CF9" w:rsidP="00B443FA">
            <w:r w:rsidRPr="002A0623">
              <w:t>N93.9</w:t>
            </w:r>
          </w:p>
        </w:tc>
        <w:tc>
          <w:tcPr>
            <w:tcW w:w="7470" w:type="dxa"/>
            <w:noWrap/>
          </w:tcPr>
          <w:p w14:paraId="3140E07A" w14:textId="77777777" w:rsidR="00195CF9" w:rsidRPr="002A0623" w:rsidRDefault="00195CF9" w:rsidP="00B443FA">
            <w:r w:rsidRPr="002A0623">
              <w:t>Abnormal uterine and vaginal bleeding, unspecified</w:t>
            </w:r>
          </w:p>
        </w:tc>
      </w:tr>
      <w:tr w:rsidR="00195CF9" w:rsidRPr="002A0623" w14:paraId="13459740" w14:textId="77777777" w:rsidTr="00280C6C">
        <w:tblPrEx>
          <w:tblLook w:val="04A0" w:firstRow="1" w:lastRow="0" w:firstColumn="1" w:lastColumn="0" w:noHBand="0" w:noVBand="1"/>
        </w:tblPrEx>
        <w:trPr>
          <w:cantSplit/>
          <w:trHeight w:val="300"/>
        </w:trPr>
        <w:tc>
          <w:tcPr>
            <w:tcW w:w="2155" w:type="dxa"/>
            <w:noWrap/>
            <w:hideMark/>
          </w:tcPr>
          <w:p w14:paraId="42B053BE" w14:textId="77777777" w:rsidR="00195CF9" w:rsidRPr="002A0623" w:rsidRDefault="00195CF9" w:rsidP="00B443FA">
            <w:r w:rsidRPr="002A0623">
              <w:t>N94.3</w:t>
            </w:r>
          </w:p>
        </w:tc>
        <w:tc>
          <w:tcPr>
            <w:tcW w:w="7470" w:type="dxa"/>
            <w:noWrap/>
          </w:tcPr>
          <w:p w14:paraId="018981CF" w14:textId="77777777" w:rsidR="00195CF9" w:rsidRPr="002A0623" w:rsidRDefault="00195CF9" w:rsidP="00B443FA">
            <w:r w:rsidRPr="002A0623">
              <w:t>Premenstrual tension syndrome</w:t>
            </w:r>
          </w:p>
        </w:tc>
      </w:tr>
      <w:tr w:rsidR="00195CF9" w:rsidRPr="002A0623" w14:paraId="540B206C" w14:textId="77777777" w:rsidTr="00280C6C">
        <w:tblPrEx>
          <w:tblLook w:val="04A0" w:firstRow="1" w:lastRow="0" w:firstColumn="1" w:lastColumn="0" w:noHBand="0" w:noVBand="1"/>
        </w:tblPrEx>
        <w:trPr>
          <w:cantSplit/>
          <w:trHeight w:val="300"/>
        </w:trPr>
        <w:tc>
          <w:tcPr>
            <w:tcW w:w="2155" w:type="dxa"/>
            <w:noWrap/>
            <w:hideMark/>
          </w:tcPr>
          <w:p w14:paraId="6FC83CCD" w14:textId="77777777" w:rsidR="00195CF9" w:rsidRPr="002A0623" w:rsidRDefault="00195CF9" w:rsidP="00B443FA">
            <w:r w:rsidRPr="002A0623">
              <w:t>N94.4 – N94.6</w:t>
            </w:r>
          </w:p>
        </w:tc>
        <w:tc>
          <w:tcPr>
            <w:tcW w:w="7470" w:type="dxa"/>
            <w:noWrap/>
          </w:tcPr>
          <w:p w14:paraId="6FD185E9" w14:textId="77777777" w:rsidR="00195CF9" w:rsidRPr="002A0623" w:rsidRDefault="00195CF9" w:rsidP="00B443FA">
            <w:r w:rsidRPr="002A0623">
              <w:t xml:space="preserve">Dysmenorrhea </w:t>
            </w:r>
          </w:p>
        </w:tc>
      </w:tr>
      <w:tr w:rsidR="00195CF9" w:rsidRPr="002A0623" w14:paraId="782DAE83" w14:textId="77777777" w:rsidTr="00280C6C">
        <w:tblPrEx>
          <w:tblLook w:val="04A0" w:firstRow="1" w:lastRow="0" w:firstColumn="1" w:lastColumn="0" w:noHBand="0" w:noVBand="1"/>
        </w:tblPrEx>
        <w:trPr>
          <w:cantSplit/>
          <w:trHeight w:val="315"/>
        </w:trPr>
        <w:tc>
          <w:tcPr>
            <w:tcW w:w="2155" w:type="dxa"/>
            <w:noWrap/>
            <w:hideMark/>
          </w:tcPr>
          <w:p w14:paraId="49E7B4E9" w14:textId="77777777" w:rsidR="00195CF9" w:rsidRPr="002A0623" w:rsidRDefault="00195CF9" w:rsidP="00B443FA">
            <w:r w:rsidRPr="002A0623">
              <w:t>N94.89</w:t>
            </w:r>
          </w:p>
        </w:tc>
        <w:tc>
          <w:tcPr>
            <w:tcW w:w="7470" w:type="dxa"/>
            <w:noWrap/>
          </w:tcPr>
          <w:p w14:paraId="59143B24" w14:textId="77777777" w:rsidR="00195CF9" w:rsidRPr="002A0623" w:rsidRDefault="00195CF9" w:rsidP="00B443FA">
            <w:r w:rsidRPr="002A0623">
              <w:t>Other specified conditions associated with female genital organs and menstrual cycle</w:t>
            </w:r>
          </w:p>
        </w:tc>
      </w:tr>
      <w:tr w:rsidR="00195CF9" w:rsidRPr="002A0623" w14:paraId="560A7A8D" w14:textId="77777777" w:rsidTr="00280C6C">
        <w:tblPrEx>
          <w:tblLook w:val="04A0" w:firstRow="1" w:lastRow="0" w:firstColumn="1" w:lastColumn="0" w:noHBand="0" w:noVBand="1"/>
        </w:tblPrEx>
        <w:trPr>
          <w:cantSplit/>
          <w:trHeight w:val="315"/>
        </w:trPr>
        <w:tc>
          <w:tcPr>
            <w:tcW w:w="2155" w:type="dxa"/>
            <w:noWrap/>
            <w:hideMark/>
          </w:tcPr>
          <w:p w14:paraId="0B8CE103" w14:textId="77777777" w:rsidR="00195CF9" w:rsidRPr="002A0623" w:rsidRDefault="00195CF9" w:rsidP="00B443FA">
            <w:r w:rsidRPr="002A0623">
              <w:t>N94.9</w:t>
            </w:r>
          </w:p>
        </w:tc>
        <w:tc>
          <w:tcPr>
            <w:tcW w:w="7470" w:type="dxa"/>
            <w:noWrap/>
          </w:tcPr>
          <w:p w14:paraId="36A0E8A9" w14:textId="77777777" w:rsidR="00195CF9" w:rsidRPr="002A0623" w:rsidRDefault="00195CF9" w:rsidP="00B443FA">
            <w:r w:rsidRPr="002A0623">
              <w:t>Unspecified condition associated with female genital organs and menstrual cycle</w:t>
            </w:r>
          </w:p>
        </w:tc>
      </w:tr>
      <w:tr w:rsidR="00195CF9" w14:paraId="0A96A42C" w14:textId="77777777" w:rsidTr="00280C6C">
        <w:tblPrEx>
          <w:tblLook w:val="04A0" w:firstRow="1" w:lastRow="0" w:firstColumn="1" w:lastColumn="0" w:noHBand="0" w:noVBand="1"/>
        </w:tblPrEx>
        <w:trPr>
          <w:cantSplit/>
          <w:trHeight w:val="315"/>
        </w:trPr>
        <w:tc>
          <w:tcPr>
            <w:tcW w:w="2155" w:type="dxa"/>
            <w:noWrap/>
            <w:hideMark/>
          </w:tcPr>
          <w:p w14:paraId="6B0C6749" w14:textId="77777777" w:rsidR="00195CF9" w:rsidRDefault="00195CF9" w:rsidP="00B443FA">
            <w:r>
              <w:t>O09.00-O09.03</w:t>
            </w:r>
          </w:p>
        </w:tc>
        <w:tc>
          <w:tcPr>
            <w:tcW w:w="7470" w:type="dxa"/>
            <w:noWrap/>
            <w:hideMark/>
          </w:tcPr>
          <w:p w14:paraId="55E34338" w14:textId="77777777" w:rsidR="00195CF9" w:rsidRDefault="00195CF9" w:rsidP="00B443FA">
            <w:r>
              <w:t>Supervision of pregnancy with history of infertility</w:t>
            </w:r>
          </w:p>
        </w:tc>
      </w:tr>
      <w:tr w:rsidR="00195CF9" w14:paraId="6D068612" w14:textId="77777777" w:rsidTr="00280C6C">
        <w:tblPrEx>
          <w:tblLook w:val="04A0" w:firstRow="1" w:lastRow="0" w:firstColumn="1" w:lastColumn="0" w:noHBand="0" w:noVBand="1"/>
        </w:tblPrEx>
        <w:trPr>
          <w:cantSplit/>
          <w:trHeight w:val="315"/>
        </w:trPr>
        <w:tc>
          <w:tcPr>
            <w:tcW w:w="2155" w:type="dxa"/>
            <w:noWrap/>
            <w:hideMark/>
          </w:tcPr>
          <w:p w14:paraId="5024E3E1" w14:textId="77777777" w:rsidR="00195CF9" w:rsidRDefault="00195CF9" w:rsidP="00B443FA">
            <w:r>
              <w:t>O09.10-O09.13</w:t>
            </w:r>
          </w:p>
        </w:tc>
        <w:tc>
          <w:tcPr>
            <w:tcW w:w="7470" w:type="dxa"/>
            <w:noWrap/>
            <w:hideMark/>
          </w:tcPr>
          <w:p w14:paraId="32471BE9" w14:textId="77777777" w:rsidR="00195CF9" w:rsidRDefault="00195CF9" w:rsidP="00B443FA">
            <w:r>
              <w:t>Supervision of pregnancy with history of ectopic pregnancy</w:t>
            </w:r>
          </w:p>
        </w:tc>
      </w:tr>
      <w:tr w:rsidR="00195CF9" w14:paraId="2B61C899" w14:textId="77777777" w:rsidTr="00280C6C">
        <w:tblPrEx>
          <w:tblLook w:val="04A0" w:firstRow="1" w:lastRow="0" w:firstColumn="1" w:lastColumn="0" w:noHBand="0" w:noVBand="1"/>
        </w:tblPrEx>
        <w:trPr>
          <w:cantSplit/>
          <w:trHeight w:val="315"/>
        </w:trPr>
        <w:tc>
          <w:tcPr>
            <w:tcW w:w="2155" w:type="dxa"/>
            <w:noWrap/>
            <w:hideMark/>
          </w:tcPr>
          <w:p w14:paraId="2E5244DF" w14:textId="77777777" w:rsidR="00195CF9" w:rsidRDefault="00195CF9" w:rsidP="00B443FA">
            <w:r>
              <w:t>O09.A0-O09.A3</w:t>
            </w:r>
          </w:p>
        </w:tc>
        <w:tc>
          <w:tcPr>
            <w:tcW w:w="7470" w:type="dxa"/>
            <w:noWrap/>
            <w:hideMark/>
          </w:tcPr>
          <w:p w14:paraId="2528DAE2" w14:textId="77777777" w:rsidR="00195CF9" w:rsidRDefault="00195CF9" w:rsidP="00B443FA">
            <w:r>
              <w:t>Supervision of pregnancy with history of molar pregnancy</w:t>
            </w:r>
          </w:p>
        </w:tc>
      </w:tr>
      <w:tr w:rsidR="00195CF9" w14:paraId="0FD6AB14" w14:textId="77777777" w:rsidTr="00280C6C">
        <w:tblPrEx>
          <w:tblLook w:val="04A0" w:firstRow="1" w:lastRow="0" w:firstColumn="1" w:lastColumn="0" w:noHBand="0" w:noVBand="1"/>
        </w:tblPrEx>
        <w:trPr>
          <w:cantSplit/>
          <w:trHeight w:val="315"/>
        </w:trPr>
        <w:tc>
          <w:tcPr>
            <w:tcW w:w="2155" w:type="dxa"/>
            <w:noWrap/>
            <w:hideMark/>
          </w:tcPr>
          <w:p w14:paraId="61596DC5" w14:textId="77777777" w:rsidR="00195CF9" w:rsidRDefault="00195CF9" w:rsidP="00B443FA">
            <w:r>
              <w:t>O09.211-O09.219</w:t>
            </w:r>
          </w:p>
        </w:tc>
        <w:tc>
          <w:tcPr>
            <w:tcW w:w="7470" w:type="dxa"/>
            <w:noWrap/>
            <w:hideMark/>
          </w:tcPr>
          <w:p w14:paraId="3ED516C0" w14:textId="77777777" w:rsidR="00195CF9" w:rsidRDefault="00195CF9" w:rsidP="00B443FA">
            <w:r>
              <w:t>Supervision of pregnancy with history of pre-term labor</w:t>
            </w:r>
          </w:p>
        </w:tc>
      </w:tr>
      <w:tr w:rsidR="00195CF9" w14:paraId="1999AC0D" w14:textId="77777777" w:rsidTr="00280C6C">
        <w:tblPrEx>
          <w:tblLook w:val="04A0" w:firstRow="1" w:lastRow="0" w:firstColumn="1" w:lastColumn="0" w:noHBand="0" w:noVBand="1"/>
        </w:tblPrEx>
        <w:trPr>
          <w:cantSplit/>
          <w:trHeight w:val="315"/>
        </w:trPr>
        <w:tc>
          <w:tcPr>
            <w:tcW w:w="2155" w:type="dxa"/>
            <w:noWrap/>
            <w:hideMark/>
          </w:tcPr>
          <w:p w14:paraId="396DE440" w14:textId="77777777" w:rsidR="00195CF9" w:rsidRDefault="00195CF9" w:rsidP="00B443FA">
            <w:r>
              <w:t>O09.291-O09.299</w:t>
            </w:r>
          </w:p>
        </w:tc>
        <w:tc>
          <w:tcPr>
            <w:tcW w:w="7470" w:type="dxa"/>
            <w:noWrap/>
            <w:hideMark/>
          </w:tcPr>
          <w:p w14:paraId="47DA37C0" w14:textId="77777777" w:rsidR="00195CF9" w:rsidRDefault="00195CF9" w:rsidP="00B443FA">
            <w:r>
              <w:t>Supervision of pregnancy with other poor reproductive or obstetric history</w:t>
            </w:r>
          </w:p>
        </w:tc>
      </w:tr>
      <w:tr w:rsidR="00195CF9" w14:paraId="55DD37CB" w14:textId="77777777" w:rsidTr="00280C6C">
        <w:tblPrEx>
          <w:tblLook w:val="04A0" w:firstRow="1" w:lastRow="0" w:firstColumn="1" w:lastColumn="0" w:noHBand="0" w:noVBand="1"/>
        </w:tblPrEx>
        <w:trPr>
          <w:cantSplit/>
          <w:trHeight w:val="315"/>
        </w:trPr>
        <w:tc>
          <w:tcPr>
            <w:tcW w:w="2155" w:type="dxa"/>
            <w:noWrap/>
            <w:hideMark/>
          </w:tcPr>
          <w:p w14:paraId="376A2665" w14:textId="77777777" w:rsidR="00195CF9" w:rsidRDefault="00195CF9" w:rsidP="00B443FA">
            <w:r>
              <w:t>O09.30-O09.33</w:t>
            </w:r>
          </w:p>
        </w:tc>
        <w:tc>
          <w:tcPr>
            <w:tcW w:w="7470" w:type="dxa"/>
            <w:noWrap/>
            <w:hideMark/>
          </w:tcPr>
          <w:p w14:paraId="7E4FC8F4" w14:textId="77777777" w:rsidR="00195CF9" w:rsidRDefault="00195CF9" w:rsidP="00B443FA">
            <w:r>
              <w:t>Supervision of pregnancy with insufficient antenatal care</w:t>
            </w:r>
          </w:p>
        </w:tc>
      </w:tr>
      <w:tr w:rsidR="00195CF9" w14:paraId="120A1EE0" w14:textId="77777777" w:rsidTr="00280C6C">
        <w:tblPrEx>
          <w:tblLook w:val="04A0" w:firstRow="1" w:lastRow="0" w:firstColumn="1" w:lastColumn="0" w:noHBand="0" w:noVBand="1"/>
        </w:tblPrEx>
        <w:trPr>
          <w:cantSplit/>
          <w:trHeight w:val="315"/>
        </w:trPr>
        <w:tc>
          <w:tcPr>
            <w:tcW w:w="2155" w:type="dxa"/>
            <w:noWrap/>
            <w:hideMark/>
          </w:tcPr>
          <w:p w14:paraId="22B24A07" w14:textId="77777777" w:rsidR="00195CF9" w:rsidRDefault="00195CF9" w:rsidP="00B443FA">
            <w:r>
              <w:t>O09.40-O09.43</w:t>
            </w:r>
          </w:p>
        </w:tc>
        <w:tc>
          <w:tcPr>
            <w:tcW w:w="7470" w:type="dxa"/>
            <w:noWrap/>
            <w:hideMark/>
          </w:tcPr>
          <w:p w14:paraId="2CCEBBDF" w14:textId="77777777" w:rsidR="00195CF9" w:rsidRDefault="00195CF9" w:rsidP="00B443FA">
            <w:r>
              <w:t>Supervision of pregnancy with grand multiparity</w:t>
            </w:r>
          </w:p>
        </w:tc>
      </w:tr>
      <w:tr w:rsidR="00195CF9" w14:paraId="0218D616" w14:textId="77777777" w:rsidTr="00280C6C">
        <w:tblPrEx>
          <w:tblLook w:val="04A0" w:firstRow="1" w:lastRow="0" w:firstColumn="1" w:lastColumn="0" w:noHBand="0" w:noVBand="1"/>
        </w:tblPrEx>
        <w:trPr>
          <w:cantSplit/>
          <w:trHeight w:val="315"/>
        </w:trPr>
        <w:tc>
          <w:tcPr>
            <w:tcW w:w="2155" w:type="dxa"/>
            <w:noWrap/>
            <w:hideMark/>
          </w:tcPr>
          <w:p w14:paraId="294F2815" w14:textId="77777777" w:rsidR="00195CF9" w:rsidRDefault="00195CF9" w:rsidP="00B443FA">
            <w:r>
              <w:t>O09.511-O09.519</w:t>
            </w:r>
          </w:p>
        </w:tc>
        <w:tc>
          <w:tcPr>
            <w:tcW w:w="7470" w:type="dxa"/>
            <w:noWrap/>
            <w:hideMark/>
          </w:tcPr>
          <w:p w14:paraId="5CC163A7" w14:textId="77777777" w:rsidR="00195CF9" w:rsidRDefault="00195CF9" w:rsidP="00B443FA">
            <w:r>
              <w:t>Supervision of elderly primigravida</w:t>
            </w:r>
          </w:p>
        </w:tc>
      </w:tr>
      <w:tr w:rsidR="00195CF9" w14:paraId="4283244A" w14:textId="77777777" w:rsidTr="00280C6C">
        <w:tblPrEx>
          <w:tblLook w:val="04A0" w:firstRow="1" w:lastRow="0" w:firstColumn="1" w:lastColumn="0" w:noHBand="0" w:noVBand="1"/>
        </w:tblPrEx>
        <w:trPr>
          <w:cantSplit/>
          <w:trHeight w:val="315"/>
        </w:trPr>
        <w:tc>
          <w:tcPr>
            <w:tcW w:w="2155" w:type="dxa"/>
            <w:noWrap/>
            <w:hideMark/>
          </w:tcPr>
          <w:p w14:paraId="0DD9CA5C" w14:textId="77777777" w:rsidR="00195CF9" w:rsidRDefault="00195CF9" w:rsidP="00B443FA">
            <w:r>
              <w:t>O09.611-O09.619</w:t>
            </w:r>
          </w:p>
        </w:tc>
        <w:tc>
          <w:tcPr>
            <w:tcW w:w="7470" w:type="dxa"/>
            <w:noWrap/>
            <w:hideMark/>
          </w:tcPr>
          <w:p w14:paraId="7734E005" w14:textId="77777777" w:rsidR="00195CF9" w:rsidRDefault="00195CF9" w:rsidP="00B443FA">
            <w:r>
              <w:t>Supervision of young primigravida</w:t>
            </w:r>
          </w:p>
        </w:tc>
      </w:tr>
      <w:tr w:rsidR="00195CF9" w14:paraId="6FDD9F41" w14:textId="77777777" w:rsidTr="00280C6C">
        <w:tblPrEx>
          <w:tblLook w:val="04A0" w:firstRow="1" w:lastRow="0" w:firstColumn="1" w:lastColumn="0" w:noHBand="0" w:noVBand="1"/>
        </w:tblPrEx>
        <w:trPr>
          <w:cantSplit/>
          <w:trHeight w:val="315"/>
        </w:trPr>
        <w:tc>
          <w:tcPr>
            <w:tcW w:w="2155" w:type="dxa"/>
            <w:noWrap/>
            <w:hideMark/>
          </w:tcPr>
          <w:p w14:paraId="3C140A1E" w14:textId="77777777" w:rsidR="00195CF9" w:rsidRDefault="00195CF9" w:rsidP="00B443FA">
            <w:r>
              <w:t>O09.621-O09.629</w:t>
            </w:r>
          </w:p>
        </w:tc>
        <w:tc>
          <w:tcPr>
            <w:tcW w:w="7470" w:type="dxa"/>
            <w:noWrap/>
            <w:hideMark/>
          </w:tcPr>
          <w:p w14:paraId="67D4F591" w14:textId="77777777" w:rsidR="00195CF9" w:rsidRDefault="00195CF9" w:rsidP="00B443FA">
            <w:r>
              <w:t>Supervision of young multigravida</w:t>
            </w:r>
          </w:p>
        </w:tc>
      </w:tr>
      <w:tr w:rsidR="00195CF9" w14:paraId="3ADD018A" w14:textId="77777777" w:rsidTr="00280C6C">
        <w:tblPrEx>
          <w:tblLook w:val="04A0" w:firstRow="1" w:lastRow="0" w:firstColumn="1" w:lastColumn="0" w:noHBand="0" w:noVBand="1"/>
        </w:tblPrEx>
        <w:trPr>
          <w:cantSplit/>
          <w:trHeight w:val="315"/>
        </w:trPr>
        <w:tc>
          <w:tcPr>
            <w:tcW w:w="2155" w:type="dxa"/>
            <w:noWrap/>
            <w:hideMark/>
          </w:tcPr>
          <w:p w14:paraId="243369D1" w14:textId="77777777" w:rsidR="00195CF9" w:rsidRDefault="00195CF9" w:rsidP="00B443FA">
            <w:r>
              <w:t>O09.70-O09.73</w:t>
            </w:r>
          </w:p>
        </w:tc>
        <w:tc>
          <w:tcPr>
            <w:tcW w:w="7470" w:type="dxa"/>
            <w:noWrap/>
            <w:hideMark/>
          </w:tcPr>
          <w:p w14:paraId="636F2B4C" w14:textId="77777777" w:rsidR="00195CF9" w:rsidRDefault="00195CF9" w:rsidP="00B443FA">
            <w:r>
              <w:t>Supervision of high risk pregnancy due to social problems</w:t>
            </w:r>
          </w:p>
        </w:tc>
      </w:tr>
      <w:tr w:rsidR="00195CF9" w14:paraId="000F7638" w14:textId="77777777" w:rsidTr="00280C6C">
        <w:tblPrEx>
          <w:tblLook w:val="04A0" w:firstRow="1" w:lastRow="0" w:firstColumn="1" w:lastColumn="0" w:noHBand="0" w:noVBand="1"/>
        </w:tblPrEx>
        <w:trPr>
          <w:cantSplit/>
          <w:trHeight w:val="315"/>
        </w:trPr>
        <w:tc>
          <w:tcPr>
            <w:tcW w:w="2155" w:type="dxa"/>
            <w:noWrap/>
            <w:hideMark/>
          </w:tcPr>
          <w:p w14:paraId="4B90D96F" w14:textId="77777777" w:rsidR="00195CF9" w:rsidRDefault="00195CF9" w:rsidP="00B443FA">
            <w:r>
              <w:t>O09.811-O09.819</w:t>
            </w:r>
          </w:p>
        </w:tc>
        <w:tc>
          <w:tcPr>
            <w:tcW w:w="7470" w:type="dxa"/>
            <w:noWrap/>
            <w:hideMark/>
          </w:tcPr>
          <w:p w14:paraId="0EF24A0C" w14:textId="77777777" w:rsidR="00195CF9" w:rsidRDefault="00195CF9" w:rsidP="00B443FA">
            <w:r>
              <w:t>Supervision of pregnancy resulting from assisted reproductive technology</w:t>
            </w:r>
          </w:p>
        </w:tc>
      </w:tr>
      <w:tr w:rsidR="00195CF9" w14:paraId="076099A6" w14:textId="77777777" w:rsidTr="00280C6C">
        <w:tblPrEx>
          <w:tblLook w:val="04A0" w:firstRow="1" w:lastRow="0" w:firstColumn="1" w:lastColumn="0" w:noHBand="0" w:noVBand="1"/>
        </w:tblPrEx>
        <w:trPr>
          <w:cantSplit/>
          <w:trHeight w:val="315"/>
        </w:trPr>
        <w:tc>
          <w:tcPr>
            <w:tcW w:w="2155" w:type="dxa"/>
            <w:noWrap/>
            <w:hideMark/>
          </w:tcPr>
          <w:p w14:paraId="6C36FD3C" w14:textId="77777777" w:rsidR="00195CF9" w:rsidRDefault="00195CF9" w:rsidP="00B443FA">
            <w:r>
              <w:t>O09.821-O09.829</w:t>
            </w:r>
          </w:p>
        </w:tc>
        <w:tc>
          <w:tcPr>
            <w:tcW w:w="7470" w:type="dxa"/>
            <w:noWrap/>
            <w:hideMark/>
          </w:tcPr>
          <w:p w14:paraId="149DDE29" w14:textId="77777777" w:rsidR="00195CF9" w:rsidRDefault="00195CF9" w:rsidP="00B443FA">
            <w:r>
              <w:t>Supervision of pregnancy with history of in utero procedure during previous pregnancy</w:t>
            </w:r>
          </w:p>
        </w:tc>
      </w:tr>
      <w:tr w:rsidR="00195CF9" w14:paraId="2A98F544" w14:textId="77777777" w:rsidTr="00280C6C">
        <w:tblPrEx>
          <w:tblLook w:val="04A0" w:firstRow="1" w:lastRow="0" w:firstColumn="1" w:lastColumn="0" w:noHBand="0" w:noVBand="1"/>
        </w:tblPrEx>
        <w:trPr>
          <w:cantSplit/>
          <w:trHeight w:val="315"/>
        </w:trPr>
        <w:tc>
          <w:tcPr>
            <w:tcW w:w="2155" w:type="dxa"/>
            <w:noWrap/>
            <w:hideMark/>
          </w:tcPr>
          <w:p w14:paraId="1FF3251C" w14:textId="77777777" w:rsidR="00195CF9" w:rsidRDefault="00195CF9" w:rsidP="00B443FA">
            <w:r>
              <w:t>O09.891-O09.899</w:t>
            </w:r>
          </w:p>
        </w:tc>
        <w:tc>
          <w:tcPr>
            <w:tcW w:w="7470" w:type="dxa"/>
            <w:noWrap/>
            <w:hideMark/>
          </w:tcPr>
          <w:p w14:paraId="4DE378AA" w14:textId="77777777" w:rsidR="00195CF9" w:rsidRDefault="00195CF9" w:rsidP="00B443FA">
            <w:r>
              <w:t>Supervision of other high risk pregnancies</w:t>
            </w:r>
          </w:p>
        </w:tc>
      </w:tr>
      <w:tr w:rsidR="00195CF9" w14:paraId="27C8C7BF" w14:textId="77777777" w:rsidTr="00280C6C">
        <w:tblPrEx>
          <w:tblLook w:val="04A0" w:firstRow="1" w:lastRow="0" w:firstColumn="1" w:lastColumn="0" w:noHBand="0" w:noVBand="1"/>
        </w:tblPrEx>
        <w:trPr>
          <w:cantSplit/>
          <w:trHeight w:val="315"/>
        </w:trPr>
        <w:tc>
          <w:tcPr>
            <w:tcW w:w="2155" w:type="dxa"/>
            <w:noWrap/>
            <w:hideMark/>
          </w:tcPr>
          <w:p w14:paraId="4905ED92" w14:textId="77777777" w:rsidR="00195CF9" w:rsidRDefault="00195CF9" w:rsidP="00B443FA">
            <w:r>
              <w:t>O09.90-O09.93</w:t>
            </w:r>
          </w:p>
        </w:tc>
        <w:tc>
          <w:tcPr>
            <w:tcW w:w="7470" w:type="dxa"/>
            <w:noWrap/>
            <w:hideMark/>
          </w:tcPr>
          <w:p w14:paraId="0377D8E7" w14:textId="1BF85754" w:rsidR="00195CF9" w:rsidRDefault="00195CF9" w:rsidP="003A7B05">
            <w:r>
              <w:t xml:space="preserve">Supervision of high risk pregnancy, unspecified </w:t>
            </w:r>
          </w:p>
        </w:tc>
      </w:tr>
      <w:tr w:rsidR="00195CF9" w:rsidRPr="002A0623" w14:paraId="6C202E1C" w14:textId="77777777" w:rsidTr="00280C6C">
        <w:tblPrEx>
          <w:tblLook w:val="04A0" w:firstRow="1" w:lastRow="0" w:firstColumn="1" w:lastColumn="0" w:noHBand="0" w:noVBand="1"/>
        </w:tblPrEx>
        <w:trPr>
          <w:cantSplit/>
          <w:trHeight w:val="300"/>
        </w:trPr>
        <w:tc>
          <w:tcPr>
            <w:tcW w:w="2155" w:type="dxa"/>
            <w:noWrap/>
            <w:hideMark/>
          </w:tcPr>
          <w:p w14:paraId="5CA3BC35" w14:textId="77777777" w:rsidR="00195CF9" w:rsidRPr="002A0623" w:rsidRDefault="00195CF9" w:rsidP="00B443FA">
            <w:r w:rsidRPr="002A0623">
              <w:t>Z00.00</w:t>
            </w:r>
          </w:p>
        </w:tc>
        <w:tc>
          <w:tcPr>
            <w:tcW w:w="7470" w:type="dxa"/>
            <w:noWrap/>
          </w:tcPr>
          <w:p w14:paraId="10782495" w14:textId="77777777" w:rsidR="00195CF9" w:rsidRPr="002A0623" w:rsidRDefault="00195CF9" w:rsidP="00B443FA">
            <w:r w:rsidRPr="002A0623">
              <w:t>Encounter for general adult medical examination without abnormal findings</w:t>
            </w:r>
          </w:p>
        </w:tc>
      </w:tr>
      <w:tr w:rsidR="00195CF9" w:rsidRPr="002A0623" w14:paraId="3BC41F95" w14:textId="77777777" w:rsidTr="00280C6C">
        <w:tblPrEx>
          <w:tblLook w:val="04A0" w:firstRow="1" w:lastRow="0" w:firstColumn="1" w:lastColumn="0" w:noHBand="0" w:noVBand="1"/>
        </w:tblPrEx>
        <w:trPr>
          <w:cantSplit/>
          <w:trHeight w:val="300"/>
        </w:trPr>
        <w:tc>
          <w:tcPr>
            <w:tcW w:w="2155" w:type="dxa"/>
            <w:noWrap/>
            <w:hideMark/>
          </w:tcPr>
          <w:p w14:paraId="2995DB0A" w14:textId="77777777" w:rsidR="00195CF9" w:rsidRPr="002A0623" w:rsidRDefault="00195CF9" w:rsidP="00B443FA">
            <w:r w:rsidRPr="002A0623">
              <w:t>Z00.8</w:t>
            </w:r>
          </w:p>
        </w:tc>
        <w:tc>
          <w:tcPr>
            <w:tcW w:w="7470" w:type="dxa"/>
            <w:noWrap/>
          </w:tcPr>
          <w:p w14:paraId="7500D3A4" w14:textId="77777777" w:rsidR="00195CF9" w:rsidRPr="002A0623" w:rsidRDefault="00195CF9" w:rsidP="00B443FA">
            <w:r w:rsidRPr="002A0623">
              <w:t>Encounter for other general examination</w:t>
            </w:r>
          </w:p>
        </w:tc>
      </w:tr>
      <w:tr w:rsidR="00195CF9" w:rsidRPr="002A0623" w14:paraId="7490E80D" w14:textId="77777777" w:rsidTr="00280C6C">
        <w:tblPrEx>
          <w:tblLook w:val="04A0" w:firstRow="1" w:lastRow="0" w:firstColumn="1" w:lastColumn="0" w:noHBand="0" w:noVBand="1"/>
        </w:tblPrEx>
        <w:trPr>
          <w:cantSplit/>
          <w:trHeight w:val="300"/>
        </w:trPr>
        <w:tc>
          <w:tcPr>
            <w:tcW w:w="2155" w:type="dxa"/>
            <w:noWrap/>
            <w:hideMark/>
          </w:tcPr>
          <w:p w14:paraId="6DFC6B45" w14:textId="77777777" w:rsidR="00195CF9" w:rsidRPr="002A0623" w:rsidRDefault="00195CF9" w:rsidP="00B443FA">
            <w:r w:rsidRPr="002A0623">
              <w:t>Z01.419</w:t>
            </w:r>
          </w:p>
        </w:tc>
        <w:tc>
          <w:tcPr>
            <w:tcW w:w="7470" w:type="dxa"/>
            <w:noWrap/>
          </w:tcPr>
          <w:p w14:paraId="07AC3599" w14:textId="77777777" w:rsidR="00195CF9" w:rsidRPr="002A0623" w:rsidRDefault="00195CF9" w:rsidP="00B443FA">
            <w:r w:rsidRPr="002A0623">
              <w:t>Encounter for gynecological examination (general) (routine) without abnormal findings</w:t>
            </w:r>
          </w:p>
        </w:tc>
      </w:tr>
      <w:tr w:rsidR="00195CF9" w:rsidRPr="002A0623" w14:paraId="5BD92DEE" w14:textId="77777777" w:rsidTr="00280C6C">
        <w:tblPrEx>
          <w:tblLook w:val="04A0" w:firstRow="1" w:lastRow="0" w:firstColumn="1" w:lastColumn="0" w:noHBand="0" w:noVBand="1"/>
        </w:tblPrEx>
        <w:trPr>
          <w:cantSplit/>
          <w:trHeight w:val="300"/>
        </w:trPr>
        <w:tc>
          <w:tcPr>
            <w:tcW w:w="2155" w:type="dxa"/>
            <w:noWrap/>
            <w:hideMark/>
          </w:tcPr>
          <w:p w14:paraId="762320C6" w14:textId="77777777" w:rsidR="00195CF9" w:rsidRPr="002A0623" w:rsidRDefault="00195CF9" w:rsidP="00B443FA">
            <w:r w:rsidRPr="002A0623">
              <w:t>Z11.3</w:t>
            </w:r>
          </w:p>
        </w:tc>
        <w:tc>
          <w:tcPr>
            <w:tcW w:w="7470" w:type="dxa"/>
            <w:noWrap/>
          </w:tcPr>
          <w:p w14:paraId="3CAD350E" w14:textId="77777777" w:rsidR="00195CF9" w:rsidRPr="002A0623" w:rsidRDefault="00195CF9" w:rsidP="00B443FA">
            <w:r w:rsidRPr="002A0623">
              <w:t>Encounter for screening for infections with a predominantly sexual mode of transmission</w:t>
            </w:r>
          </w:p>
        </w:tc>
      </w:tr>
      <w:tr w:rsidR="00195CF9" w:rsidRPr="002A0623" w14:paraId="327A5702" w14:textId="77777777" w:rsidTr="00280C6C">
        <w:tblPrEx>
          <w:tblLook w:val="04A0" w:firstRow="1" w:lastRow="0" w:firstColumn="1" w:lastColumn="0" w:noHBand="0" w:noVBand="1"/>
        </w:tblPrEx>
        <w:trPr>
          <w:cantSplit/>
          <w:trHeight w:val="300"/>
        </w:trPr>
        <w:tc>
          <w:tcPr>
            <w:tcW w:w="2155" w:type="dxa"/>
            <w:noWrap/>
            <w:hideMark/>
          </w:tcPr>
          <w:p w14:paraId="35C3E71E" w14:textId="77777777" w:rsidR="00195CF9" w:rsidRPr="002A0623" w:rsidRDefault="00195CF9" w:rsidP="00B443FA">
            <w:r w:rsidRPr="002A0623">
              <w:t>Z11.51</w:t>
            </w:r>
          </w:p>
        </w:tc>
        <w:tc>
          <w:tcPr>
            <w:tcW w:w="7470" w:type="dxa"/>
            <w:noWrap/>
          </w:tcPr>
          <w:p w14:paraId="378633B4" w14:textId="77777777" w:rsidR="00195CF9" w:rsidRPr="002A0623" w:rsidRDefault="00195CF9" w:rsidP="00B443FA">
            <w:r w:rsidRPr="002A0623">
              <w:t>Encounter for screening for human papillomavirus (HPV)</w:t>
            </w:r>
          </w:p>
        </w:tc>
      </w:tr>
      <w:tr w:rsidR="00195CF9" w:rsidRPr="002A0623" w14:paraId="7DDE9E08" w14:textId="77777777" w:rsidTr="00280C6C">
        <w:tblPrEx>
          <w:tblLook w:val="04A0" w:firstRow="1" w:lastRow="0" w:firstColumn="1" w:lastColumn="0" w:noHBand="0" w:noVBand="1"/>
        </w:tblPrEx>
        <w:trPr>
          <w:cantSplit/>
          <w:trHeight w:val="300"/>
        </w:trPr>
        <w:tc>
          <w:tcPr>
            <w:tcW w:w="2155" w:type="dxa"/>
            <w:noWrap/>
            <w:hideMark/>
          </w:tcPr>
          <w:p w14:paraId="1A68C0AB" w14:textId="77777777" w:rsidR="00195CF9" w:rsidRPr="002A0623" w:rsidRDefault="00195CF9" w:rsidP="00B443FA">
            <w:r w:rsidRPr="002A0623">
              <w:t>Z22.330</w:t>
            </w:r>
          </w:p>
        </w:tc>
        <w:tc>
          <w:tcPr>
            <w:tcW w:w="7470" w:type="dxa"/>
            <w:noWrap/>
          </w:tcPr>
          <w:p w14:paraId="3FB42AE6" w14:textId="77777777" w:rsidR="00195CF9" w:rsidRPr="002A0623" w:rsidRDefault="00195CF9" w:rsidP="00B443FA">
            <w:r w:rsidRPr="002A0623">
              <w:t>Carrier of Group B streptococcus</w:t>
            </w:r>
          </w:p>
        </w:tc>
      </w:tr>
      <w:tr w:rsidR="00195CF9" w:rsidRPr="002A0623" w14:paraId="3B40815E" w14:textId="77777777" w:rsidTr="00280C6C">
        <w:tblPrEx>
          <w:tblLook w:val="04A0" w:firstRow="1" w:lastRow="0" w:firstColumn="1" w:lastColumn="0" w:noHBand="0" w:noVBand="1"/>
        </w:tblPrEx>
        <w:trPr>
          <w:cantSplit/>
          <w:trHeight w:val="300"/>
        </w:trPr>
        <w:tc>
          <w:tcPr>
            <w:tcW w:w="2155" w:type="dxa"/>
            <w:noWrap/>
            <w:hideMark/>
          </w:tcPr>
          <w:p w14:paraId="606188FF" w14:textId="77777777" w:rsidR="00195CF9" w:rsidRPr="002A0623" w:rsidRDefault="00195CF9" w:rsidP="00B443FA">
            <w:r w:rsidRPr="002A0623">
              <w:t>Z23</w:t>
            </w:r>
          </w:p>
        </w:tc>
        <w:tc>
          <w:tcPr>
            <w:tcW w:w="7470" w:type="dxa"/>
            <w:noWrap/>
          </w:tcPr>
          <w:p w14:paraId="18D194A7" w14:textId="77777777" w:rsidR="00195CF9" w:rsidRPr="002A0623" w:rsidRDefault="00195CF9" w:rsidP="00B443FA">
            <w:r w:rsidRPr="002A0623">
              <w:t>Encounter for immunization</w:t>
            </w:r>
          </w:p>
        </w:tc>
      </w:tr>
      <w:tr w:rsidR="00195CF9" w:rsidRPr="002A0623" w14:paraId="234D130B" w14:textId="77777777" w:rsidTr="00280C6C">
        <w:tblPrEx>
          <w:tblLook w:val="04A0" w:firstRow="1" w:lastRow="0" w:firstColumn="1" w:lastColumn="0" w:noHBand="0" w:noVBand="1"/>
        </w:tblPrEx>
        <w:trPr>
          <w:cantSplit/>
          <w:trHeight w:val="300"/>
        </w:trPr>
        <w:tc>
          <w:tcPr>
            <w:tcW w:w="2155" w:type="dxa"/>
            <w:noWrap/>
            <w:hideMark/>
          </w:tcPr>
          <w:p w14:paraId="34AFBD8E" w14:textId="77777777" w:rsidR="00195CF9" w:rsidRPr="002A0623" w:rsidRDefault="00195CF9" w:rsidP="00B443FA">
            <w:r w:rsidRPr="002A0623">
              <w:t>Z30.011 – Z30.019</w:t>
            </w:r>
          </w:p>
        </w:tc>
        <w:tc>
          <w:tcPr>
            <w:tcW w:w="7470" w:type="dxa"/>
            <w:noWrap/>
          </w:tcPr>
          <w:p w14:paraId="5507B239" w14:textId="77777777" w:rsidR="00195CF9" w:rsidRPr="002A0623" w:rsidRDefault="00195CF9" w:rsidP="00B443FA">
            <w:r w:rsidRPr="002A0623">
              <w:t>Encounter for initial prescription of contraceptives</w:t>
            </w:r>
          </w:p>
        </w:tc>
      </w:tr>
      <w:tr w:rsidR="00195CF9" w:rsidRPr="002A0623" w14:paraId="0D52B081" w14:textId="77777777" w:rsidTr="00280C6C">
        <w:tblPrEx>
          <w:tblLook w:val="04A0" w:firstRow="1" w:lastRow="0" w:firstColumn="1" w:lastColumn="0" w:noHBand="0" w:noVBand="1"/>
        </w:tblPrEx>
        <w:trPr>
          <w:cantSplit/>
          <w:trHeight w:val="300"/>
        </w:trPr>
        <w:tc>
          <w:tcPr>
            <w:tcW w:w="2155" w:type="dxa"/>
            <w:noWrap/>
            <w:hideMark/>
          </w:tcPr>
          <w:p w14:paraId="5EE05AC5" w14:textId="77777777" w:rsidR="00195CF9" w:rsidRPr="002A0623" w:rsidRDefault="00195CF9" w:rsidP="00B443FA">
            <w:r w:rsidRPr="002A0623">
              <w:t>Z30.02</w:t>
            </w:r>
          </w:p>
        </w:tc>
        <w:tc>
          <w:tcPr>
            <w:tcW w:w="7470" w:type="dxa"/>
            <w:noWrap/>
          </w:tcPr>
          <w:p w14:paraId="6007263C" w14:textId="77777777" w:rsidR="00195CF9" w:rsidRPr="002A0623" w:rsidRDefault="00195CF9" w:rsidP="00B443FA">
            <w:r w:rsidRPr="002A0623">
              <w:t>Counseling and instruction in natural family planning to avoid pregnancy</w:t>
            </w:r>
          </w:p>
        </w:tc>
      </w:tr>
      <w:tr w:rsidR="00195CF9" w:rsidRPr="002A0623" w14:paraId="31C43D30" w14:textId="77777777" w:rsidTr="00280C6C">
        <w:tblPrEx>
          <w:tblLook w:val="04A0" w:firstRow="1" w:lastRow="0" w:firstColumn="1" w:lastColumn="0" w:noHBand="0" w:noVBand="1"/>
        </w:tblPrEx>
        <w:trPr>
          <w:cantSplit/>
          <w:trHeight w:val="300"/>
        </w:trPr>
        <w:tc>
          <w:tcPr>
            <w:tcW w:w="2155" w:type="dxa"/>
            <w:noWrap/>
            <w:hideMark/>
          </w:tcPr>
          <w:p w14:paraId="3849FD23" w14:textId="77777777" w:rsidR="00195CF9" w:rsidRPr="002A0623" w:rsidRDefault="00195CF9" w:rsidP="00B443FA">
            <w:r w:rsidRPr="002A0623">
              <w:t>Z30.09</w:t>
            </w:r>
          </w:p>
        </w:tc>
        <w:tc>
          <w:tcPr>
            <w:tcW w:w="7470" w:type="dxa"/>
            <w:noWrap/>
          </w:tcPr>
          <w:p w14:paraId="0980EB01" w14:textId="77777777" w:rsidR="00195CF9" w:rsidRPr="002A0623" w:rsidRDefault="00195CF9" w:rsidP="00B443FA">
            <w:r w:rsidRPr="002A0623">
              <w:t>Encounter for other general counseling and advice on contraception</w:t>
            </w:r>
          </w:p>
        </w:tc>
      </w:tr>
      <w:tr w:rsidR="00195CF9" w:rsidRPr="002A0623" w14:paraId="47E97B8F" w14:textId="77777777" w:rsidTr="00280C6C">
        <w:tblPrEx>
          <w:tblLook w:val="04A0" w:firstRow="1" w:lastRow="0" w:firstColumn="1" w:lastColumn="0" w:noHBand="0" w:noVBand="1"/>
        </w:tblPrEx>
        <w:trPr>
          <w:cantSplit/>
          <w:trHeight w:val="300"/>
        </w:trPr>
        <w:tc>
          <w:tcPr>
            <w:tcW w:w="2155" w:type="dxa"/>
            <w:noWrap/>
            <w:hideMark/>
          </w:tcPr>
          <w:p w14:paraId="506C1A47" w14:textId="77777777" w:rsidR="00195CF9" w:rsidRPr="002A0623" w:rsidRDefault="00195CF9" w:rsidP="00B443FA">
            <w:r w:rsidRPr="002A0623">
              <w:t>Z30.40 – Z30.9</w:t>
            </w:r>
          </w:p>
        </w:tc>
        <w:tc>
          <w:tcPr>
            <w:tcW w:w="7470" w:type="dxa"/>
            <w:noWrap/>
          </w:tcPr>
          <w:p w14:paraId="5E38E657" w14:textId="77777777" w:rsidR="00195CF9" w:rsidRPr="002A0623" w:rsidRDefault="00195CF9" w:rsidP="00B443FA">
            <w:r w:rsidRPr="002A0623">
              <w:t>Encounter for surveillance of contraceptives</w:t>
            </w:r>
          </w:p>
        </w:tc>
      </w:tr>
      <w:tr w:rsidR="00195CF9" w:rsidRPr="002A0623" w14:paraId="3491CE34" w14:textId="77777777" w:rsidTr="00280C6C">
        <w:tblPrEx>
          <w:tblLook w:val="04A0" w:firstRow="1" w:lastRow="0" w:firstColumn="1" w:lastColumn="0" w:noHBand="0" w:noVBand="1"/>
        </w:tblPrEx>
        <w:trPr>
          <w:cantSplit/>
          <w:trHeight w:val="300"/>
        </w:trPr>
        <w:tc>
          <w:tcPr>
            <w:tcW w:w="2155" w:type="dxa"/>
            <w:noWrap/>
            <w:hideMark/>
          </w:tcPr>
          <w:p w14:paraId="633602A0" w14:textId="77777777" w:rsidR="00195CF9" w:rsidRPr="002A0623" w:rsidRDefault="00195CF9" w:rsidP="00B443FA">
            <w:r w:rsidRPr="002A0623">
              <w:t>Z32.00</w:t>
            </w:r>
          </w:p>
        </w:tc>
        <w:tc>
          <w:tcPr>
            <w:tcW w:w="7470" w:type="dxa"/>
            <w:noWrap/>
          </w:tcPr>
          <w:p w14:paraId="2A0FA09F" w14:textId="46631474" w:rsidR="00195CF9" w:rsidRPr="002A0623" w:rsidRDefault="00195CF9" w:rsidP="00B443FA">
            <w:r w:rsidRPr="002A0623">
              <w:t>Encounter for pregnancy test</w:t>
            </w:r>
            <w:r w:rsidR="003A7B05">
              <w:t>, result unknown</w:t>
            </w:r>
          </w:p>
        </w:tc>
      </w:tr>
      <w:tr w:rsidR="00195CF9" w:rsidRPr="002A0623" w14:paraId="0DF7113C" w14:textId="77777777" w:rsidTr="00280C6C">
        <w:tblPrEx>
          <w:tblLook w:val="04A0" w:firstRow="1" w:lastRow="0" w:firstColumn="1" w:lastColumn="0" w:noHBand="0" w:noVBand="1"/>
        </w:tblPrEx>
        <w:trPr>
          <w:cantSplit/>
          <w:trHeight w:val="300"/>
        </w:trPr>
        <w:tc>
          <w:tcPr>
            <w:tcW w:w="2155" w:type="dxa"/>
            <w:noWrap/>
            <w:hideMark/>
          </w:tcPr>
          <w:p w14:paraId="58A05D95" w14:textId="77777777" w:rsidR="00195CF9" w:rsidRPr="002A0623" w:rsidRDefault="00195CF9" w:rsidP="00B443FA">
            <w:r w:rsidRPr="002A0623">
              <w:t>Z33</w:t>
            </w:r>
            <w:r>
              <w:t>.</w:t>
            </w:r>
            <w:r w:rsidRPr="002A0623">
              <w:t>1</w:t>
            </w:r>
          </w:p>
        </w:tc>
        <w:tc>
          <w:tcPr>
            <w:tcW w:w="7470" w:type="dxa"/>
            <w:noWrap/>
          </w:tcPr>
          <w:p w14:paraId="1B32FBEA" w14:textId="77777777" w:rsidR="00195CF9" w:rsidRPr="002A0623" w:rsidRDefault="00195CF9" w:rsidP="00B443FA">
            <w:r w:rsidRPr="002A0623">
              <w:t>Pregnant state, incidental</w:t>
            </w:r>
          </w:p>
        </w:tc>
      </w:tr>
      <w:tr w:rsidR="00195CF9" w:rsidRPr="002A0623" w14:paraId="26C53D86" w14:textId="77777777" w:rsidTr="00280C6C">
        <w:tblPrEx>
          <w:tblLook w:val="04A0" w:firstRow="1" w:lastRow="0" w:firstColumn="1" w:lastColumn="0" w:noHBand="0" w:noVBand="1"/>
        </w:tblPrEx>
        <w:trPr>
          <w:cantSplit/>
          <w:trHeight w:val="300"/>
        </w:trPr>
        <w:tc>
          <w:tcPr>
            <w:tcW w:w="2155" w:type="dxa"/>
            <w:noWrap/>
            <w:hideMark/>
          </w:tcPr>
          <w:p w14:paraId="5A5CDA60" w14:textId="77777777" w:rsidR="00195CF9" w:rsidRPr="002A0623" w:rsidRDefault="00195CF9" w:rsidP="00B443FA">
            <w:r w:rsidRPr="002A0623">
              <w:t>Z34.00 – Z34.03</w:t>
            </w:r>
          </w:p>
        </w:tc>
        <w:tc>
          <w:tcPr>
            <w:tcW w:w="7470" w:type="dxa"/>
            <w:noWrap/>
          </w:tcPr>
          <w:p w14:paraId="37327BD4" w14:textId="77777777" w:rsidR="00195CF9" w:rsidRPr="002A0623" w:rsidRDefault="00195CF9" w:rsidP="00B443FA">
            <w:r w:rsidRPr="002A0623">
              <w:t>Encounter for supervision of normal first pregnancy</w:t>
            </w:r>
          </w:p>
        </w:tc>
      </w:tr>
      <w:tr w:rsidR="00195CF9" w:rsidRPr="002A0623" w14:paraId="5D5F8CBF" w14:textId="77777777" w:rsidTr="00280C6C">
        <w:tblPrEx>
          <w:tblLook w:val="04A0" w:firstRow="1" w:lastRow="0" w:firstColumn="1" w:lastColumn="0" w:noHBand="0" w:noVBand="1"/>
        </w:tblPrEx>
        <w:trPr>
          <w:cantSplit/>
          <w:trHeight w:val="300"/>
        </w:trPr>
        <w:tc>
          <w:tcPr>
            <w:tcW w:w="2155" w:type="dxa"/>
            <w:noWrap/>
            <w:hideMark/>
          </w:tcPr>
          <w:p w14:paraId="77D5F86C" w14:textId="77777777" w:rsidR="00195CF9" w:rsidRPr="002A0623" w:rsidRDefault="00195CF9" w:rsidP="00B443FA">
            <w:r w:rsidRPr="002A0623">
              <w:t>Z34.80 – Z34.83</w:t>
            </w:r>
          </w:p>
        </w:tc>
        <w:tc>
          <w:tcPr>
            <w:tcW w:w="7470" w:type="dxa"/>
            <w:noWrap/>
          </w:tcPr>
          <w:p w14:paraId="66A830A8" w14:textId="77777777" w:rsidR="00195CF9" w:rsidRPr="002A0623" w:rsidRDefault="00195CF9" w:rsidP="00B443FA">
            <w:r w:rsidRPr="002A0623">
              <w:t>Encounter for supervision of other normal pregnancy</w:t>
            </w:r>
          </w:p>
        </w:tc>
      </w:tr>
      <w:tr w:rsidR="00195CF9" w:rsidRPr="002A0623" w14:paraId="6EC14129" w14:textId="77777777" w:rsidTr="00280C6C">
        <w:tblPrEx>
          <w:tblLook w:val="04A0" w:firstRow="1" w:lastRow="0" w:firstColumn="1" w:lastColumn="0" w:noHBand="0" w:noVBand="1"/>
        </w:tblPrEx>
        <w:trPr>
          <w:cantSplit/>
          <w:trHeight w:val="300"/>
        </w:trPr>
        <w:tc>
          <w:tcPr>
            <w:tcW w:w="2155" w:type="dxa"/>
            <w:noWrap/>
            <w:hideMark/>
          </w:tcPr>
          <w:p w14:paraId="35A774EC" w14:textId="77777777" w:rsidR="00195CF9" w:rsidRPr="002A0623" w:rsidRDefault="00195CF9" w:rsidP="00B443FA">
            <w:r w:rsidRPr="002A0623">
              <w:t>Z34.90 – Z34.93</w:t>
            </w:r>
          </w:p>
        </w:tc>
        <w:tc>
          <w:tcPr>
            <w:tcW w:w="7470" w:type="dxa"/>
            <w:noWrap/>
          </w:tcPr>
          <w:p w14:paraId="743D4D09" w14:textId="77777777" w:rsidR="00195CF9" w:rsidRPr="002A0623" w:rsidRDefault="00195CF9" w:rsidP="00B443FA">
            <w:r w:rsidRPr="002A0623">
              <w:t>Encounter for supervision of normal pregnancy, unspecified</w:t>
            </w:r>
          </w:p>
        </w:tc>
      </w:tr>
      <w:tr w:rsidR="00195CF9" w:rsidRPr="002A0623" w14:paraId="3443E0FF" w14:textId="77777777" w:rsidTr="00280C6C">
        <w:tblPrEx>
          <w:tblLook w:val="04A0" w:firstRow="1" w:lastRow="0" w:firstColumn="1" w:lastColumn="0" w:noHBand="0" w:noVBand="1"/>
        </w:tblPrEx>
        <w:trPr>
          <w:cantSplit/>
          <w:trHeight w:val="300"/>
        </w:trPr>
        <w:tc>
          <w:tcPr>
            <w:tcW w:w="2155" w:type="dxa"/>
            <w:noWrap/>
            <w:hideMark/>
          </w:tcPr>
          <w:p w14:paraId="06EDBB82" w14:textId="77777777" w:rsidR="00195CF9" w:rsidRPr="002A0623" w:rsidRDefault="00195CF9" w:rsidP="00B443FA">
            <w:r w:rsidRPr="002A0623">
              <w:t>Z36</w:t>
            </w:r>
            <w:r>
              <w:t>.3</w:t>
            </w:r>
          </w:p>
        </w:tc>
        <w:tc>
          <w:tcPr>
            <w:tcW w:w="7470" w:type="dxa"/>
            <w:noWrap/>
          </w:tcPr>
          <w:p w14:paraId="693F1635" w14:textId="77777777" w:rsidR="00195CF9" w:rsidRPr="002A0623" w:rsidRDefault="00195CF9" w:rsidP="00B443FA">
            <w:r w:rsidRPr="002A0623">
              <w:t xml:space="preserve">Encounter for antenatal screening </w:t>
            </w:r>
            <w:r w:rsidRPr="00543105">
              <w:t xml:space="preserve">for malformations </w:t>
            </w:r>
          </w:p>
        </w:tc>
      </w:tr>
      <w:tr w:rsidR="00195CF9" w14:paraId="4B7AD9C0" w14:textId="77777777" w:rsidTr="00280C6C">
        <w:tblPrEx>
          <w:tblLook w:val="04A0" w:firstRow="1" w:lastRow="0" w:firstColumn="1" w:lastColumn="0" w:noHBand="0" w:noVBand="1"/>
        </w:tblPrEx>
        <w:trPr>
          <w:cantSplit/>
          <w:trHeight w:val="300"/>
        </w:trPr>
        <w:tc>
          <w:tcPr>
            <w:tcW w:w="2155" w:type="dxa"/>
            <w:noWrap/>
            <w:hideMark/>
          </w:tcPr>
          <w:p w14:paraId="2B1B6623" w14:textId="77777777" w:rsidR="00195CF9" w:rsidRDefault="00195CF9" w:rsidP="00B443FA">
            <w:r>
              <w:t>Z36.0-Z36.5</w:t>
            </w:r>
          </w:p>
        </w:tc>
        <w:tc>
          <w:tcPr>
            <w:tcW w:w="7470" w:type="dxa"/>
            <w:noWrap/>
            <w:hideMark/>
          </w:tcPr>
          <w:p w14:paraId="552A1BD7" w14:textId="77777777" w:rsidR="00195CF9" w:rsidRDefault="00195CF9" w:rsidP="00B443FA">
            <w:r>
              <w:t>Encounter for antenatal screening of mother</w:t>
            </w:r>
          </w:p>
        </w:tc>
      </w:tr>
      <w:tr w:rsidR="00195CF9" w14:paraId="52289CDC" w14:textId="77777777" w:rsidTr="00280C6C">
        <w:tblPrEx>
          <w:tblLook w:val="04A0" w:firstRow="1" w:lastRow="0" w:firstColumn="1" w:lastColumn="0" w:noHBand="0" w:noVBand="1"/>
        </w:tblPrEx>
        <w:trPr>
          <w:cantSplit/>
          <w:trHeight w:val="300"/>
        </w:trPr>
        <w:tc>
          <w:tcPr>
            <w:tcW w:w="2155" w:type="dxa"/>
            <w:noWrap/>
            <w:hideMark/>
          </w:tcPr>
          <w:p w14:paraId="43008200" w14:textId="77777777" w:rsidR="00195CF9" w:rsidRDefault="00195CF9" w:rsidP="00B443FA">
            <w:r>
              <w:t>Z36.81-Z36.9</w:t>
            </w:r>
          </w:p>
        </w:tc>
        <w:tc>
          <w:tcPr>
            <w:tcW w:w="7470" w:type="dxa"/>
            <w:noWrap/>
            <w:hideMark/>
          </w:tcPr>
          <w:p w14:paraId="05881F62" w14:textId="77777777" w:rsidR="00195CF9" w:rsidRDefault="00195CF9" w:rsidP="00B443FA">
            <w:r>
              <w:t>Encounter for other antenatal screening</w:t>
            </w:r>
          </w:p>
        </w:tc>
      </w:tr>
      <w:tr w:rsidR="00195CF9" w:rsidRPr="002A0623" w14:paraId="6F899133" w14:textId="77777777" w:rsidTr="00280C6C">
        <w:tblPrEx>
          <w:tblLook w:val="04A0" w:firstRow="1" w:lastRow="0" w:firstColumn="1" w:lastColumn="0" w:noHBand="0" w:noVBand="1"/>
        </w:tblPrEx>
        <w:trPr>
          <w:cantSplit/>
          <w:trHeight w:val="300"/>
        </w:trPr>
        <w:tc>
          <w:tcPr>
            <w:tcW w:w="2155" w:type="dxa"/>
            <w:noWrap/>
            <w:hideMark/>
          </w:tcPr>
          <w:p w14:paraId="7B168ED7" w14:textId="77777777" w:rsidR="00195CF9" w:rsidRPr="002A0623" w:rsidRDefault="00195CF9" w:rsidP="00B443FA">
            <w:r w:rsidRPr="002A0623">
              <w:t>Z38.00 – Z38.01</w:t>
            </w:r>
          </w:p>
        </w:tc>
        <w:tc>
          <w:tcPr>
            <w:tcW w:w="7470" w:type="dxa"/>
            <w:noWrap/>
          </w:tcPr>
          <w:p w14:paraId="2B72D607" w14:textId="77777777" w:rsidR="00195CF9" w:rsidRPr="002A0623" w:rsidRDefault="00195CF9" w:rsidP="00B443FA">
            <w:r w:rsidRPr="002A0623">
              <w:t>Single liveborn infant, born in hospital</w:t>
            </w:r>
          </w:p>
        </w:tc>
      </w:tr>
      <w:tr w:rsidR="00195CF9" w:rsidRPr="002A0623" w14:paraId="54C58D59" w14:textId="77777777" w:rsidTr="00280C6C">
        <w:tblPrEx>
          <w:tblLook w:val="04A0" w:firstRow="1" w:lastRow="0" w:firstColumn="1" w:lastColumn="0" w:noHBand="0" w:noVBand="1"/>
        </w:tblPrEx>
        <w:trPr>
          <w:cantSplit/>
          <w:trHeight w:val="300"/>
        </w:trPr>
        <w:tc>
          <w:tcPr>
            <w:tcW w:w="2155" w:type="dxa"/>
            <w:noWrap/>
          </w:tcPr>
          <w:p w14:paraId="0B943662" w14:textId="77777777" w:rsidR="00195CF9" w:rsidRPr="002A0623" w:rsidRDefault="00195CF9" w:rsidP="00B443FA">
            <w:r w:rsidRPr="002A0623">
              <w:t>Z38.30 – Z38.31</w:t>
            </w:r>
          </w:p>
        </w:tc>
        <w:tc>
          <w:tcPr>
            <w:tcW w:w="7470" w:type="dxa"/>
            <w:noWrap/>
          </w:tcPr>
          <w:p w14:paraId="4FF713F5" w14:textId="77777777" w:rsidR="00195CF9" w:rsidRPr="002A0623" w:rsidRDefault="00195CF9" w:rsidP="00B443FA">
            <w:r w:rsidRPr="002A0623">
              <w:t>Twin liveborn infant, born in hospital</w:t>
            </w:r>
          </w:p>
        </w:tc>
      </w:tr>
      <w:tr w:rsidR="00195CF9" w:rsidRPr="002A0623" w14:paraId="5D3F3D03" w14:textId="77777777" w:rsidTr="00280C6C">
        <w:tblPrEx>
          <w:tblLook w:val="04A0" w:firstRow="1" w:lastRow="0" w:firstColumn="1" w:lastColumn="0" w:noHBand="0" w:noVBand="1"/>
        </w:tblPrEx>
        <w:trPr>
          <w:cantSplit/>
          <w:trHeight w:val="300"/>
        </w:trPr>
        <w:tc>
          <w:tcPr>
            <w:tcW w:w="2155" w:type="dxa"/>
            <w:noWrap/>
          </w:tcPr>
          <w:p w14:paraId="39CC6606" w14:textId="77777777" w:rsidR="00195CF9" w:rsidRPr="002A0623" w:rsidRDefault="00195CF9" w:rsidP="00B443FA">
            <w:r w:rsidRPr="002A0623">
              <w:t>Z38.61 – Z38.69</w:t>
            </w:r>
          </w:p>
        </w:tc>
        <w:tc>
          <w:tcPr>
            <w:tcW w:w="7470" w:type="dxa"/>
            <w:noWrap/>
          </w:tcPr>
          <w:p w14:paraId="7172D416" w14:textId="77777777" w:rsidR="00195CF9" w:rsidRPr="002A0623" w:rsidRDefault="00195CF9" w:rsidP="00B443FA">
            <w:r w:rsidRPr="002A0623">
              <w:t>Other multiple liveborn infant, born in hospital</w:t>
            </w:r>
          </w:p>
        </w:tc>
      </w:tr>
      <w:tr w:rsidR="00195CF9" w:rsidRPr="002A0623" w14:paraId="323D128F" w14:textId="77777777" w:rsidTr="00280C6C">
        <w:tblPrEx>
          <w:tblLook w:val="04A0" w:firstRow="1" w:lastRow="0" w:firstColumn="1" w:lastColumn="0" w:noHBand="0" w:noVBand="1"/>
        </w:tblPrEx>
        <w:trPr>
          <w:cantSplit/>
          <w:trHeight w:val="300"/>
        </w:trPr>
        <w:tc>
          <w:tcPr>
            <w:tcW w:w="2155" w:type="dxa"/>
            <w:noWrap/>
            <w:hideMark/>
          </w:tcPr>
          <w:p w14:paraId="5E148104" w14:textId="77777777" w:rsidR="00195CF9" w:rsidRPr="002A0623" w:rsidRDefault="00195CF9" w:rsidP="00B443FA">
            <w:r w:rsidRPr="002A0623">
              <w:t>Z39.0 – Z39.2</w:t>
            </w:r>
          </w:p>
        </w:tc>
        <w:tc>
          <w:tcPr>
            <w:tcW w:w="7470" w:type="dxa"/>
            <w:noWrap/>
          </w:tcPr>
          <w:p w14:paraId="53A669FE" w14:textId="77777777" w:rsidR="00195CF9" w:rsidRPr="002A0623" w:rsidRDefault="00195CF9" w:rsidP="00B443FA">
            <w:r w:rsidRPr="002A0623">
              <w:t>Encounter for maternal postpartum care and examination</w:t>
            </w:r>
          </w:p>
        </w:tc>
      </w:tr>
      <w:tr w:rsidR="00195CF9" w:rsidRPr="002A0623" w14:paraId="6DCA9891" w14:textId="77777777" w:rsidTr="00280C6C">
        <w:tblPrEx>
          <w:tblLook w:val="04A0" w:firstRow="1" w:lastRow="0" w:firstColumn="1" w:lastColumn="0" w:noHBand="0" w:noVBand="1"/>
        </w:tblPrEx>
        <w:trPr>
          <w:cantSplit/>
          <w:trHeight w:val="300"/>
        </w:trPr>
        <w:tc>
          <w:tcPr>
            <w:tcW w:w="2155" w:type="dxa"/>
            <w:noWrap/>
            <w:hideMark/>
          </w:tcPr>
          <w:p w14:paraId="6BFDD741" w14:textId="77777777" w:rsidR="00195CF9" w:rsidRPr="002A0623" w:rsidRDefault="00195CF9" w:rsidP="00B443FA">
            <w:r w:rsidRPr="002A0623">
              <w:t>Z3A.00 – Z3A.49</w:t>
            </w:r>
          </w:p>
        </w:tc>
        <w:tc>
          <w:tcPr>
            <w:tcW w:w="7470" w:type="dxa"/>
            <w:noWrap/>
          </w:tcPr>
          <w:p w14:paraId="0437DA9E" w14:textId="77777777" w:rsidR="00195CF9" w:rsidRPr="002A0623" w:rsidRDefault="00195CF9" w:rsidP="00B443FA">
            <w:r w:rsidRPr="002A0623">
              <w:t>Weeks of gestation</w:t>
            </w:r>
          </w:p>
        </w:tc>
      </w:tr>
      <w:tr w:rsidR="00195CF9" w:rsidRPr="002A0623" w14:paraId="472EA920" w14:textId="77777777" w:rsidTr="00280C6C">
        <w:tblPrEx>
          <w:tblLook w:val="04A0" w:firstRow="1" w:lastRow="0" w:firstColumn="1" w:lastColumn="0" w:noHBand="0" w:noVBand="1"/>
        </w:tblPrEx>
        <w:trPr>
          <w:cantSplit/>
          <w:trHeight w:val="300"/>
        </w:trPr>
        <w:tc>
          <w:tcPr>
            <w:tcW w:w="2155" w:type="dxa"/>
            <w:noWrap/>
            <w:hideMark/>
          </w:tcPr>
          <w:p w14:paraId="104BE339" w14:textId="77777777" w:rsidR="00195CF9" w:rsidRPr="002A0623" w:rsidRDefault="00195CF9" w:rsidP="00B443FA">
            <w:r w:rsidRPr="002A0623">
              <w:t>Z97</w:t>
            </w:r>
            <w:r>
              <w:t>.</w:t>
            </w:r>
            <w:r w:rsidRPr="002A0623">
              <w:t>5</w:t>
            </w:r>
          </w:p>
        </w:tc>
        <w:tc>
          <w:tcPr>
            <w:tcW w:w="7470" w:type="dxa"/>
            <w:noWrap/>
          </w:tcPr>
          <w:p w14:paraId="4A58AE97" w14:textId="77777777" w:rsidR="00195CF9" w:rsidRPr="002A0623" w:rsidRDefault="00195CF9" w:rsidP="00B443FA">
            <w:r w:rsidRPr="002A0623">
              <w:t>Presence of (intrauterine) contraceptive device</w:t>
            </w:r>
          </w:p>
        </w:tc>
      </w:tr>
    </w:tbl>
    <w:p w14:paraId="641B1B65" w14:textId="77777777" w:rsidR="00195CF9" w:rsidRDefault="00195CF9" w:rsidP="00195CF9"/>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195CF9" w:rsidRPr="00EF6CBF" w14:paraId="6508B81A" w14:textId="77777777" w:rsidTr="00B443FA">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7578" w:type="dxa"/>
            <w:shd w:val="clear" w:color="auto" w:fill="00548C"/>
          </w:tcPr>
          <w:p w14:paraId="7CD1388A" w14:textId="77777777" w:rsidR="00195CF9" w:rsidRPr="00EF6CBF" w:rsidRDefault="00195CF9" w:rsidP="00B443FA">
            <w:pPr>
              <w:rPr>
                <w:bCs w:val="0"/>
              </w:rPr>
            </w:pPr>
            <w:bookmarkStart w:id="1" w:name="Revision_Log"/>
            <w:r w:rsidRPr="00EF6CBF">
              <w:rPr>
                <w:bCs w:val="0"/>
              </w:rPr>
              <w:t>Reviews, Revisions, and Approvals</w:t>
            </w:r>
            <w:bookmarkEnd w:id="1"/>
          </w:p>
        </w:tc>
        <w:tc>
          <w:tcPr>
            <w:tcW w:w="810" w:type="dxa"/>
            <w:shd w:val="clear" w:color="auto" w:fill="00548C"/>
          </w:tcPr>
          <w:p w14:paraId="0172F601" w14:textId="77777777" w:rsidR="00195CF9" w:rsidRPr="00EF6CBF" w:rsidRDefault="00195CF9" w:rsidP="00B443FA">
            <w:pPr>
              <w:jc w:val="center"/>
              <w:cnfStyle w:val="100000000000" w:firstRow="1" w:lastRow="0" w:firstColumn="0" w:lastColumn="0" w:oddVBand="0" w:evenVBand="0" w:oddHBand="0" w:evenHBand="0" w:firstRowFirstColumn="0" w:firstRowLastColumn="0" w:lastRowFirstColumn="0" w:lastRowLastColumn="0"/>
              <w:rPr>
                <w:bCs w:val="0"/>
              </w:rPr>
            </w:pPr>
            <w:r w:rsidRPr="00EF6CBF">
              <w:rPr>
                <w:bCs w:val="0"/>
              </w:rPr>
              <w:t>Date</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00548C"/>
          </w:tcPr>
          <w:p w14:paraId="32543F2F" w14:textId="77777777" w:rsidR="00195CF9" w:rsidRPr="00EF6CBF" w:rsidRDefault="00195CF9" w:rsidP="00B443FA">
            <w:pPr>
              <w:jc w:val="center"/>
              <w:rPr>
                <w:bCs w:val="0"/>
              </w:rPr>
            </w:pPr>
            <w:r w:rsidRPr="00EF6CBF">
              <w:rPr>
                <w:bCs w:val="0"/>
              </w:rPr>
              <w:t>Approval Date</w:t>
            </w:r>
          </w:p>
        </w:tc>
      </w:tr>
      <w:tr w:rsidR="00195CF9" w:rsidRPr="00EF6CBF" w14:paraId="02027407" w14:textId="77777777" w:rsidTr="00B443FA">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Pr>
          <w:p w14:paraId="1A8BB479" w14:textId="77777777" w:rsidR="00195CF9" w:rsidRPr="00EF6CBF" w:rsidRDefault="00195CF9" w:rsidP="00B443FA">
            <w:pPr>
              <w:tabs>
                <w:tab w:val="num" w:pos="720"/>
              </w:tabs>
            </w:pPr>
            <w:r w:rsidRPr="00EF6CBF">
              <w:t>Policy developed, reviewed by specialist</w:t>
            </w:r>
            <w:r>
              <w:t>.</w:t>
            </w:r>
          </w:p>
        </w:tc>
        <w:tc>
          <w:tcPr>
            <w:tcW w:w="810" w:type="dxa"/>
          </w:tcPr>
          <w:p w14:paraId="7C973ADA" w14:textId="77777777" w:rsidR="00195CF9" w:rsidRPr="00EF6CBF" w:rsidRDefault="00195CF9" w:rsidP="00B443FA">
            <w:pPr>
              <w:jc w:val="center"/>
              <w:cnfStyle w:val="000000100000" w:firstRow="0" w:lastRow="0" w:firstColumn="0" w:lastColumn="0" w:oddVBand="0" w:evenVBand="0" w:oddHBand="1" w:evenHBand="0" w:firstRowFirstColumn="0" w:firstRowLastColumn="0" w:lastRowFirstColumn="0" w:lastRowLastColumn="0"/>
            </w:pPr>
            <w:r w:rsidRPr="00EF6CBF">
              <w:t>06/16</w:t>
            </w:r>
          </w:p>
        </w:tc>
        <w:tc>
          <w:tcPr>
            <w:cnfStyle w:val="000010000000" w:firstRow="0" w:lastRow="0" w:firstColumn="0" w:lastColumn="0" w:oddVBand="1" w:evenVBand="0" w:oddHBand="0" w:evenHBand="0" w:firstRowFirstColumn="0" w:firstRowLastColumn="0" w:lastRowFirstColumn="0" w:lastRowLastColumn="0"/>
            <w:tcW w:w="1260" w:type="dxa"/>
          </w:tcPr>
          <w:p w14:paraId="50B9C68A" w14:textId="77777777" w:rsidR="00195CF9" w:rsidRPr="00EF6CBF" w:rsidRDefault="00195CF9" w:rsidP="00B443FA">
            <w:pPr>
              <w:jc w:val="center"/>
            </w:pPr>
            <w:r>
              <w:t>06/16</w:t>
            </w:r>
          </w:p>
        </w:tc>
      </w:tr>
      <w:tr w:rsidR="00195CF9" w14:paraId="2C8A66B0" w14:textId="77777777" w:rsidTr="00B443FA">
        <w:trPr>
          <w:cantSplit/>
        </w:trPr>
        <w:tc>
          <w:tcPr>
            <w:cnfStyle w:val="000010000000" w:firstRow="0" w:lastRow="0" w:firstColumn="0" w:lastColumn="0" w:oddVBand="1" w:evenVBand="0" w:oddHBand="0" w:evenHBand="0" w:firstRowFirstColumn="0" w:firstRowLastColumn="0" w:lastRowFirstColumn="0" w:lastRowLastColumn="0"/>
            <w:tcW w:w="7578" w:type="dxa"/>
          </w:tcPr>
          <w:p w14:paraId="3329E67E" w14:textId="77777777" w:rsidR="00195CF9" w:rsidRPr="00EF6CBF" w:rsidRDefault="00195CF9" w:rsidP="00B443FA">
            <w:pPr>
              <w:tabs>
                <w:tab w:val="num" w:pos="720"/>
              </w:tabs>
            </w:pPr>
            <w:r>
              <w:t>Added age restriction of ≥ 13, with supporting background information.</w:t>
            </w:r>
          </w:p>
        </w:tc>
        <w:tc>
          <w:tcPr>
            <w:tcW w:w="810" w:type="dxa"/>
          </w:tcPr>
          <w:p w14:paraId="697C4138" w14:textId="77777777" w:rsidR="00195CF9" w:rsidRPr="00EF6CBF" w:rsidRDefault="00195CF9" w:rsidP="00B443FA">
            <w:pPr>
              <w:jc w:val="center"/>
              <w:cnfStyle w:val="000000000000" w:firstRow="0" w:lastRow="0" w:firstColumn="0" w:lastColumn="0" w:oddVBand="0" w:evenVBand="0" w:oddHBand="0" w:evenHBand="0" w:firstRowFirstColumn="0" w:firstRowLastColumn="0" w:lastRowFirstColumn="0" w:lastRowLastColumn="0"/>
            </w:pPr>
            <w:r>
              <w:t>08/16</w:t>
            </w:r>
          </w:p>
        </w:tc>
        <w:tc>
          <w:tcPr>
            <w:cnfStyle w:val="000010000000" w:firstRow="0" w:lastRow="0" w:firstColumn="0" w:lastColumn="0" w:oddVBand="1" w:evenVBand="0" w:oddHBand="0" w:evenHBand="0" w:firstRowFirstColumn="0" w:firstRowLastColumn="0" w:lastRowFirstColumn="0" w:lastRowLastColumn="0"/>
            <w:tcW w:w="1260" w:type="dxa"/>
          </w:tcPr>
          <w:p w14:paraId="5EDF0331" w14:textId="77777777" w:rsidR="00195CF9" w:rsidRDefault="00195CF9" w:rsidP="00B443FA">
            <w:pPr>
              <w:jc w:val="center"/>
            </w:pPr>
          </w:p>
        </w:tc>
      </w:tr>
      <w:tr w:rsidR="00195CF9" w14:paraId="48E4F38E" w14:textId="77777777" w:rsidTr="00B443FA">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Pr>
          <w:p w14:paraId="54923964" w14:textId="77777777" w:rsidR="00195CF9" w:rsidRDefault="00195CF9" w:rsidP="00B443FA">
            <w:pPr>
              <w:tabs>
                <w:tab w:val="left" w:pos="360"/>
                <w:tab w:val="num" w:pos="720"/>
              </w:tabs>
            </w:pPr>
            <w:r>
              <w:t>Removed trichomonas from 1.A. section listing criteria for direct DNA probe. Added to ‘background information’ under b</w:t>
            </w:r>
            <w:r w:rsidRPr="000530DC">
              <w:t xml:space="preserve">acterial </w:t>
            </w:r>
            <w:r>
              <w:t>v</w:t>
            </w:r>
            <w:r w:rsidRPr="000530DC">
              <w:t xml:space="preserve">aginosis </w:t>
            </w:r>
            <w:r>
              <w:t>that the u</w:t>
            </w:r>
            <w:r w:rsidRPr="006711E3">
              <w:t>se of the proline-aminopeptidase test card (Pip Activity TestCard) is no longer recommended because of low sensitivity and specificity</w:t>
            </w:r>
            <w:r>
              <w:t xml:space="preserve">. Removed CPT code for detection of trichomonas- 87661 from the not medically necessary code tables. </w:t>
            </w:r>
          </w:p>
        </w:tc>
        <w:tc>
          <w:tcPr>
            <w:tcW w:w="810" w:type="dxa"/>
          </w:tcPr>
          <w:p w14:paraId="08B087CD" w14:textId="77777777" w:rsidR="00195CF9" w:rsidRDefault="00195CF9" w:rsidP="00B443FA">
            <w:pPr>
              <w:jc w:val="center"/>
              <w:cnfStyle w:val="000000100000" w:firstRow="0" w:lastRow="0" w:firstColumn="0" w:lastColumn="0" w:oddVBand="0" w:evenVBand="0" w:oddHBand="1" w:evenHBand="0" w:firstRowFirstColumn="0" w:firstRowLastColumn="0" w:lastRowFirstColumn="0" w:lastRowLastColumn="0"/>
            </w:pPr>
            <w:r>
              <w:t>06/17</w:t>
            </w:r>
          </w:p>
        </w:tc>
        <w:tc>
          <w:tcPr>
            <w:cnfStyle w:val="000010000000" w:firstRow="0" w:lastRow="0" w:firstColumn="0" w:lastColumn="0" w:oddVBand="1" w:evenVBand="0" w:oddHBand="0" w:evenHBand="0" w:firstRowFirstColumn="0" w:firstRowLastColumn="0" w:lastRowFirstColumn="0" w:lastRowLastColumn="0"/>
            <w:tcW w:w="1260" w:type="dxa"/>
          </w:tcPr>
          <w:p w14:paraId="7756681C" w14:textId="77777777" w:rsidR="00195CF9" w:rsidRDefault="00195CF9" w:rsidP="00B443FA">
            <w:pPr>
              <w:jc w:val="center"/>
            </w:pPr>
            <w:r>
              <w:t>06/17</w:t>
            </w:r>
          </w:p>
        </w:tc>
      </w:tr>
      <w:tr w:rsidR="00195CF9" w14:paraId="291D2D91" w14:textId="77777777" w:rsidTr="00B443FA">
        <w:trPr>
          <w:cantSplit/>
        </w:trPr>
        <w:tc>
          <w:tcPr>
            <w:cnfStyle w:val="000010000000" w:firstRow="0" w:lastRow="0" w:firstColumn="0" w:lastColumn="0" w:oddVBand="1" w:evenVBand="0" w:oddHBand="0" w:evenHBand="0" w:firstRowFirstColumn="0" w:firstRowLastColumn="0" w:lastRowFirstColumn="0" w:lastRowLastColumn="0"/>
            <w:tcW w:w="7578" w:type="dxa"/>
            <w:tcBorders>
              <w:right w:val="single" w:sz="4" w:space="0" w:color="auto"/>
            </w:tcBorders>
          </w:tcPr>
          <w:p w14:paraId="12607252" w14:textId="77777777" w:rsidR="00195CF9" w:rsidRDefault="00195CF9" w:rsidP="00B443FA">
            <w:pPr>
              <w:tabs>
                <w:tab w:val="left" w:pos="360"/>
                <w:tab w:val="num" w:pos="720"/>
              </w:tabs>
            </w:pPr>
            <w:r>
              <w:t xml:space="preserve">Added CPT 87798 – not otherwise specified amplified DNA probe as not medically necessary when performed for indications listed in the policy related to GU conditions, asymptomatic women, and asymptomatic </w:t>
            </w:r>
            <w:r w:rsidRPr="00F07D3A">
              <w:t>women</w:t>
            </w:r>
            <w:r>
              <w:t xml:space="preserve"> during pregnancy.  Slight rewording of criteria with no clinical implications.</w:t>
            </w:r>
          </w:p>
          <w:p w14:paraId="190E5E34" w14:textId="77777777" w:rsidR="00195CF9" w:rsidRDefault="00195CF9" w:rsidP="00B443FA">
            <w:pPr>
              <w:tabs>
                <w:tab w:val="left" w:pos="360"/>
                <w:tab w:val="num" w:pos="720"/>
              </w:tabs>
            </w:pPr>
            <w:r>
              <w:t>Renamed to “Testing for Select Genitourinary Conditions.”</w:t>
            </w:r>
          </w:p>
          <w:p w14:paraId="57409D06" w14:textId="77777777" w:rsidR="00195CF9" w:rsidRDefault="00195CF9" w:rsidP="00B443FA">
            <w:pPr>
              <w:tabs>
                <w:tab w:val="left" w:pos="360"/>
                <w:tab w:val="num" w:pos="720"/>
              </w:tabs>
            </w:pPr>
            <w:r>
              <w:t xml:space="preserve">Reviewed by external OB/Gyn. </w:t>
            </w:r>
          </w:p>
        </w:tc>
        <w:tc>
          <w:tcPr>
            <w:tcW w:w="810" w:type="dxa"/>
            <w:tcBorders>
              <w:left w:val="single" w:sz="4" w:space="0" w:color="auto"/>
              <w:right w:val="single" w:sz="4" w:space="0" w:color="auto"/>
            </w:tcBorders>
          </w:tcPr>
          <w:p w14:paraId="64D4C87E" w14:textId="77777777" w:rsidR="00195CF9" w:rsidRDefault="00195CF9" w:rsidP="00B443FA">
            <w:pPr>
              <w:jc w:val="center"/>
              <w:cnfStyle w:val="000000000000" w:firstRow="0" w:lastRow="0" w:firstColumn="0" w:lastColumn="0" w:oddVBand="0" w:evenVBand="0" w:oddHBand="0" w:evenHBand="0" w:firstRowFirstColumn="0" w:firstRowLastColumn="0" w:lastRowFirstColumn="0" w:lastRowLastColumn="0"/>
            </w:pPr>
            <w:r>
              <w:t>08/17</w:t>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tcBorders>
          </w:tcPr>
          <w:p w14:paraId="521C7765" w14:textId="77777777" w:rsidR="00195CF9" w:rsidRDefault="00195CF9" w:rsidP="00B443FA">
            <w:pPr>
              <w:jc w:val="center"/>
            </w:pPr>
            <w:r>
              <w:t>09/17</w:t>
            </w:r>
          </w:p>
        </w:tc>
      </w:tr>
      <w:tr w:rsidR="00195CF9" w:rsidRPr="00CB213B" w14:paraId="75F678B9" w14:textId="77777777" w:rsidTr="00B443FA">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78" w:type="dxa"/>
            <w:tcBorders>
              <w:right w:val="single" w:sz="4" w:space="0" w:color="auto"/>
            </w:tcBorders>
            <w:hideMark/>
          </w:tcPr>
          <w:p w14:paraId="5F69DF47" w14:textId="77777777" w:rsidR="00195CF9" w:rsidRPr="00CB213B" w:rsidRDefault="00195CF9" w:rsidP="00B443FA">
            <w:pPr>
              <w:tabs>
                <w:tab w:val="left" w:pos="360"/>
                <w:tab w:val="num" w:pos="720"/>
              </w:tabs>
              <w:rPr>
                <w:b w:val="0"/>
                <w:bCs w:val="0"/>
              </w:rPr>
            </w:pPr>
            <w:r w:rsidRPr="00CB213B">
              <w:rPr>
                <w:b w:val="0"/>
                <w:bCs w:val="0"/>
              </w:rPr>
              <w:t>Removed ICD-9-CM V22 pregnancy code set and replaced with ICD-10-CM pregnancy code set.</w:t>
            </w:r>
          </w:p>
        </w:tc>
        <w:tc>
          <w:tcPr>
            <w:tcW w:w="810" w:type="dxa"/>
            <w:tcBorders>
              <w:left w:val="single" w:sz="4" w:space="0" w:color="auto"/>
              <w:right w:val="single" w:sz="4" w:space="0" w:color="auto"/>
            </w:tcBorders>
            <w:hideMark/>
          </w:tcPr>
          <w:p w14:paraId="7BA78B32" w14:textId="77777777" w:rsidR="00195CF9" w:rsidRPr="00F76CAD" w:rsidRDefault="00195CF9" w:rsidP="00B443FA">
            <w:pPr>
              <w:tabs>
                <w:tab w:val="left" w:pos="360"/>
                <w:tab w:val="num" w:pos="720"/>
              </w:tabs>
              <w:cnfStyle w:val="000000100000" w:firstRow="0" w:lastRow="0" w:firstColumn="0" w:lastColumn="0" w:oddVBand="0" w:evenVBand="0" w:oddHBand="1" w:evenHBand="0" w:firstRowFirstColumn="0" w:firstRowLastColumn="0" w:lastRowFirstColumn="0" w:lastRowLastColumn="0"/>
              <w:rPr>
                <w:bCs/>
              </w:rPr>
            </w:pPr>
            <w:r w:rsidRPr="00F76CAD">
              <w:rPr>
                <w:bCs/>
              </w:rPr>
              <w:t>12/17</w:t>
            </w:r>
          </w:p>
        </w:tc>
        <w:tc>
          <w:tcPr>
            <w:tcW w:w="1260" w:type="dxa"/>
            <w:tcBorders>
              <w:left w:val="single" w:sz="4" w:space="0" w:color="auto"/>
            </w:tcBorders>
          </w:tcPr>
          <w:p w14:paraId="6593E649" w14:textId="77777777" w:rsidR="00195CF9" w:rsidRPr="00CB213B" w:rsidRDefault="00195CF9" w:rsidP="00B443FA">
            <w:pPr>
              <w:tabs>
                <w:tab w:val="left" w:pos="360"/>
                <w:tab w:val="num" w:pos="720"/>
              </w:tabs>
              <w:cnfStyle w:val="000000100000" w:firstRow="0" w:lastRow="0" w:firstColumn="0" w:lastColumn="0" w:oddVBand="0" w:evenVBand="0" w:oddHBand="1" w:evenHBand="0" w:firstRowFirstColumn="0" w:firstRowLastColumn="0" w:lastRowFirstColumn="0" w:lastRowLastColumn="0"/>
              <w:rPr>
                <w:b/>
                <w:bCs/>
              </w:rPr>
            </w:pPr>
          </w:p>
        </w:tc>
      </w:tr>
      <w:tr w:rsidR="00195CF9" w14:paraId="50BE5AB1" w14:textId="77777777" w:rsidTr="00B443FA">
        <w:trPr>
          <w:cantSplit/>
        </w:trPr>
        <w:tc>
          <w:tcPr>
            <w:cnfStyle w:val="000010000000" w:firstRow="0" w:lastRow="0" w:firstColumn="0" w:lastColumn="0" w:oddVBand="1" w:evenVBand="0" w:oddHBand="0" w:evenHBand="0" w:firstRowFirstColumn="0" w:firstRowLastColumn="0" w:lastRowFirstColumn="0" w:lastRowLastColumn="0"/>
            <w:tcW w:w="7578" w:type="dxa"/>
          </w:tcPr>
          <w:p w14:paraId="0B825B3A" w14:textId="77777777" w:rsidR="00195CF9" w:rsidRDefault="00195CF9" w:rsidP="00B443FA">
            <w:pPr>
              <w:tabs>
                <w:tab w:val="left" w:pos="360"/>
                <w:tab w:val="num" w:pos="720"/>
              </w:tabs>
            </w:pPr>
            <w:r>
              <w:t>Section I, removed “based on the following indications”.</w:t>
            </w:r>
          </w:p>
          <w:p w14:paraId="22F28A07" w14:textId="77777777" w:rsidR="00195CF9" w:rsidRDefault="00195CF9" w:rsidP="00B443FA">
            <w:pPr>
              <w:tabs>
                <w:tab w:val="left" w:pos="360"/>
                <w:tab w:val="num" w:pos="720"/>
              </w:tabs>
            </w:pPr>
            <w:r>
              <w:t>Background updated with no clinical implications.</w:t>
            </w:r>
          </w:p>
          <w:p w14:paraId="4DA5ECBC" w14:textId="77777777" w:rsidR="00195CF9" w:rsidRDefault="00195CF9" w:rsidP="00B443FA">
            <w:pPr>
              <w:tabs>
                <w:tab w:val="left" w:pos="360"/>
                <w:tab w:val="num" w:pos="720"/>
              </w:tabs>
            </w:pPr>
            <w:r>
              <w:t>References reviewed and updated.</w:t>
            </w:r>
          </w:p>
        </w:tc>
        <w:tc>
          <w:tcPr>
            <w:tcW w:w="810" w:type="dxa"/>
            <w:tcBorders>
              <w:right w:val="single" w:sz="4" w:space="0" w:color="auto"/>
            </w:tcBorders>
          </w:tcPr>
          <w:p w14:paraId="7177B8FE" w14:textId="77777777" w:rsidR="00195CF9" w:rsidRDefault="00195CF9" w:rsidP="00B443FA">
            <w:pPr>
              <w:jc w:val="center"/>
              <w:cnfStyle w:val="000000000000" w:firstRow="0" w:lastRow="0" w:firstColumn="0" w:lastColumn="0" w:oddVBand="0" w:evenVBand="0" w:oddHBand="0"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tcBorders>
          </w:tcPr>
          <w:p w14:paraId="1900DA2B" w14:textId="77777777" w:rsidR="00195CF9" w:rsidRDefault="00195CF9" w:rsidP="00B443FA">
            <w:pPr>
              <w:jc w:val="center"/>
            </w:pPr>
            <w:r>
              <w:t>08/18</w:t>
            </w:r>
          </w:p>
        </w:tc>
      </w:tr>
      <w:tr w:rsidR="00195CF9" w14:paraId="268CDAD2" w14:textId="77777777" w:rsidTr="00B443FA">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578" w:type="dxa"/>
          </w:tcPr>
          <w:p w14:paraId="31AA258C" w14:textId="77777777" w:rsidR="00195CF9" w:rsidRDefault="00195CF9" w:rsidP="00B443FA">
            <w:pPr>
              <w:tabs>
                <w:tab w:val="left" w:pos="360"/>
                <w:tab w:val="num" w:pos="720"/>
              </w:tabs>
            </w:pPr>
            <w:r>
              <w:t>Removed criteria in I. regarding amplified DNA probe testing for trichomonas, as the amplified probe for trichomonas does not require specific symptoms to be present.</w:t>
            </w:r>
          </w:p>
        </w:tc>
        <w:tc>
          <w:tcPr>
            <w:tcW w:w="810" w:type="dxa"/>
            <w:tcBorders>
              <w:right w:val="single" w:sz="4" w:space="0" w:color="auto"/>
            </w:tcBorders>
          </w:tcPr>
          <w:p w14:paraId="676F3F41" w14:textId="77777777" w:rsidR="00195CF9" w:rsidRDefault="00195CF9" w:rsidP="00B443FA">
            <w:pPr>
              <w:jc w:val="center"/>
              <w:cnfStyle w:val="000000100000" w:firstRow="0" w:lastRow="0" w:firstColumn="0" w:lastColumn="0" w:oddVBand="0" w:evenVBand="0" w:oddHBand="1" w:evenHBand="0" w:firstRowFirstColumn="0" w:firstRowLastColumn="0" w:lastRowFirstColumn="0" w:lastRowLastColumn="0"/>
            </w:pPr>
            <w:r>
              <w:t>07/19</w:t>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tcBorders>
          </w:tcPr>
          <w:p w14:paraId="31DA80D3" w14:textId="77777777" w:rsidR="00195CF9" w:rsidRDefault="00195CF9" w:rsidP="00B443FA">
            <w:pPr>
              <w:jc w:val="center"/>
            </w:pPr>
          </w:p>
        </w:tc>
      </w:tr>
      <w:tr w:rsidR="00F578A6" w14:paraId="5B7D7B40" w14:textId="77777777" w:rsidTr="00B443FA">
        <w:trPr>
          <w:cantSplit/>
        </w:trPr>
        <w:tc>
          <w:tcPr>
            <w:cnfStyle w:val="000010000000" w:firstRow="0" w:lastRow="0" w:firstColumn="0" w:lastColumn="0" w:oddVBand="1" w:evenVBand="0" w:oddHBand="0" w:evenHBand="0" w:firstRowFirstColumn="0" w:firstRowLastColumn="0" w:lastRowFirstColumn="0" w:lastRowLastColumn="0"/>
            <w:tcW w:w="7578" w:type="dxa"/>
          </w:tcPr>
          <w:p w14:paraId="6B823CE8" w14:textId="3A702067" w:rsidR="00F578A6" w:rsidRDefault="00F578A6" w:rsidP="00F73EE1">
            <w:pPr>
              <w:tabs>
                <w:tab w:val="left" w:pos="360"/>
                <w:tab w:val="num" w:pos="720"/>
              </w:tabs>
            </w:pPr>
            <w:r>
              <w:t>Annual r</w:t>
            </w:r>
            <w:r w:rsidR="007B66F9">
              <w:t xml:space="preserve">eview completed.  Specialty review completed.  </w:t>
            </w:r>
            <w:r w:rsidR="00F73EE1">
              <w:t xml:space="preserve">Removed direct probe for trichomonas vaginalis from the policy (CPT 87660) to allow trichomonas testing to be performed without symptoms.  Added ICD-10 N89.8 as medically necessary for testing. </w:t>
            </w:r>
            <w:r w:rsidR="00280C6C">
              <w:t>Background removed related to trichomonas vaginalis</w:t>
            </w:r>
            <w:r w:rsidR="00752D46">
              <w:t>.</w:t>
            </w:r>
          </w:p>
        </w:tc>
        <w:tc>
          <w:tcPr>
            <w:tcW w:w="810" w:type="dxa"/>
            <w:tcBorders>
              <w:right w:val="single" w:sz="4" w:space="0" w:color="auto"/>
            </w:tcBorders>
          </w:tcPr>
          <w:p w14:paraId="7E677B46" w14:textId="6E154383" w:rsidR="00F578A6" w:rsidRDefault="007B66F9" w:rsidP="00B443FA">
            <w:pPr>
              <w:jc w:val="center"/>
              <w:cnfStyle w:val="000000000000" w:firstRow="0" w:lastRow="0" w:firstColumn="0" w:lastColumn="0" w:oddVBand="0" w:evenVBand="0" w:oddHBand="0"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Borders>
              <w:left w:val="single" w:sz="4" w:space="0" w:color="auto"/>
            </w:tcBorders>
          </w:tcPr>
          <w:p w14:paraId="62F13B51" w14:textId="4A7E8C18" w:rsidR="00F578A6" w:rsidRDefault="005A7B1F" w:rsidP="00B443FA">
            <w:pPr>
              <w:jc w:val="center"/>
            </w:pPr>
            <w:r>
              <w:t>08/19</w:t>
            </w:r>
          </w:p>
        </w:tc>
      </w:tr>
    </w:tbl>
    <w:p w14:paraId="04B37EAA" w14:textId="77777777" w:rsidR="00195CF9" w:rsidRDefault="00195CF9" w:rsidP="00195CF9"/>
    <w:p w14:paraId="765B04D5" w14:textId="77777777" w:rsidR="00B402DD" w:rsidRDefault="00B402DD" w:rsidP="00026124">
      <w:pPr>
        <w:pStyle w:val="Heading3"/>
        <w:sectPr w:rsidR="00B402DD" w:rsidSect="00480C09">
          <w:type w:val="continuous"/>
          <w:pgSz w:w="12240" w:h="15840" w:code="1"/>
          <w:pgMar w:top="1440" w:right="1440" w:bottom="1440" w:left="1440" w:header="576" w:footer="288" w:gutter="0"/>
          <w:cols w:space="720"/>
          <w:titlePg/>
          <w:docGrid w:linePitch="360"/>
        </w:sectPr>
      </w:pPr>
    </w:p>
    <w:p w14:paraId="2CF9A087" w14:textId="320EA19E" w:rsidR="00963062" w:rsidRPr="00EF6CBF" w:rsidRDefault="00963062" w:rsidP="00026124">
      <w:pPr>
        <w:pStyle w:val="Heading3"/>
      </w:pPr>
      <w:r w:rsidRPr="00EF6CBF">
        <w:t xml:space="preserve">References </w:t>
      </w:r>
    </w:p>
    <w:p w14:paraId="2CF9A088" w14:textId="44428ED9" w:rsidR="00026124" w:rsidRPr="00136BB0" w:rsidRDefault="00026124" w:rsidP="00026124">
      <w:pPr>
        <w:pStyle w:val="ListParagraph"/>
        <w:numPr>
          <w:ilvl w:val="0"/>
          <w:numId w:val="8"/>
        </w:numPr>
        <w:rPr>
          <w:rFonts w:ascii="Times New Roman" w:hAnsi="Times New Roman"/>
          <w:b/>
          <w:sz w:val="24"/>
          <w:szCs w:val="24"/>
        </w:rPr>
      </w:pPr>
      <w:r w:rsidRPr="000530DC">
        <w:rPr>
          <w:rFonts w:ascii="Times New Roman" w:hAnsi="Times New Roman"/>
          <w:sz w:val="24"/>
          <w:szCs w:val="24"/>
        </w:rPr>
        <w:t>Current Procedural Terminology (CPT</w:t>
      </w:r>
      <w:r w:rsidRPr="00136BB0">
        <w:rPr>
          <w:rFonts w:ascii="Times New Roman" w:hAnsi="Times New Roman"/>
          <w:sz w:val="24"/>
          <w:szCs w:val="24"/>
          <w:vertAlign w:val="superscript"/>
        </w:rPr>
        <w:t>®</w:t>
      </w:r>
      <w:r w:rsidRPr="00136BB0">
        <w:rPr>
          <w:rFonts w:ascii="Times New Roman" w:hAnsi="Times New Roman"/>
          <w:sz w:val="24"/>
          <w:szCs w:val="24"/>
        </w:rPr>
        <w:t>), 201</w:t>
      </w:r>
      <w:r w:rsidR="003C5F53" w:rsidRPr="00136BB0">
        <w:rPr>
          <w:rFonts w:ascii="Times New Roman" w:hAnsi="Times New Roman"/>
          <w:sz w:val="24"/>
          <w:szCs w:val="24"/>
        </w:rPr>
        <w:t>6</w:t>
      </w:r>
      <w:r w:rsidR="00906CD9" w:rsidRPr="00136BB0">
        <w:rPr>
          <w:rFonts w:ascii="Times New Roman" w:hAnsi="Times New Roman"/>
          <w:sz w:val="24"/>
          <w:szCs w:val="24"/>
        </w:rPr>
        <w:t xml:space="preserve">. </w:t>
      </w:r>
      <w:r w:rsidRPr="00136BB0">
        <w:rPr>
          <w:rFonts w:ascii="Times New Roman" w:hAnsi="Times New Roman"/>
          <w:sz w:val="24"/>
          <w:szCs w:val="24"/>
        </w:rPr>
        <w:t xml:space="preserve"> </w:t>
      </w:r>
      <w:r w:rsidR="00BF6AAE">
        <w:rPr>
          <w:rFonts w:ascii="Times New Roman" w:hAnsi="Times New Roman"/>
          <w:sz w:val="24"/>
          <w:szCs w:val="24"/>
        </w:rPr>
        <w:t xml:space="preserve">Updated </w:t>
      </w:r>
      <w:r w:rsidR="00A530B8">
        <w:rPr>
          <w:rFonts w:ascii="Times New Roman" w:hAnsi="Times New Roman"/>
          <w:sz w:val="24"/>
          <w:szCs w:val="24"/>
        </w:rPr>
        <w:t>2019</w:t>
      </w:r>
    </w:p>
    <w:p w14:paraId="5BD8734B" w14:textId="64F7CD48" w:rsidR="00A530B8" w:rsidRPr="00A70DFE" w:rsidRDefault="00026124" w:rsidP="00A530B8">
      <w:pPr>
        <w:pStyle w:val="ListParagraph"/>
        <w:numPr>
          <w:ilvl w:val="0"/>
          <w:numId w:val="8"/>
        </w:numPr>
        <w:rPr>
          <w:rFonts w:ascii="Times New Roman" w:hAnsi="Times New Roman"/>
          <w:b/>
          <w:sz w:val="24"/>
          <w:szCs w:val="24"/>
        </w:rPr>
      </w:pPr>
      <w:r w:rsidRPr="000530DC">
        <w:rPr>
          <w:rFonts w:ascii="Times New Roman" w:hAnsi="Times New Roman"/>
          <w:sz w:val="24"/>
          <w:szCs w:val="24"/>
        </w:rPr>
        <w:t>ICD-10-CM Official Code Set</w:t>
      </w:r>
      <w:r w:rsidRPr="00136BB0">
        <w:rPr>
          <w:rFonts w:ascii="Times New Roman" w:hAnsi="Times New Roman"/>
          <w:sz w:val="24"/>
          <w:szCs w:val="24"/>
        </w:rPr>
        <w:t>, 201</w:t>
      </w:r>
      <w:r w:rsidR="003C5F53" w:rsidRPr="00136BB0">
        <w:rPr>
          <w:rFonts w:ascii="Times New Roman" w:hAnsi="Times New Roman"/>
          <w:sz w:val="24"/>
          <w:szCs w:val="24"/>
        </w:rPr>
        <w:t>6</w:t>
      </w:r>
      <w:r w:rsidR="00906CD9" w:rsidRPr="00136BB0">
        <w:rPr>
          <w:rFonts w:ascii="Times New Roman" w:hAnsi="Times New Roman"/>
          <w:sz w:val="24"/>
          <w:szCs w:val="24"/>
        </w:rPr>
        <w:t xml:space="preserve">. </w:t>
      </w:r>
      <w:r w:rsidR="00A530B8">
        <w:rPr>
          <w:rFonts w:ascii="Times New Roman" w:hAnsi="Times New Roman"/>
          <w:sz w:val="24"/>
          <w:szCs w:val="24"/>
        </w:rPr>
        <w:t xml:space="preserve"> </w:t>
      </w:r>
      <w:r w:rsidR="00BF6AAE">
        <w:rPr>
          <w:rFonts w:ascii="Times New Roman" w:hAnsi="Times New Roman"/>
          <w:sz w:val="24"/>
          <w:szCs w:val="24"/>
        </w:rPr>
        <w:t xml:space="preserve">Updated </w:t>
      </w:r>
      <w:r w:rsidR="00A530B8">
        <w:rPr>
          <w:rFonts w:ascii="Times New Roman" w:hAnsi="Times New Roman"/>
          <w:sz w:val="24"/>
          <w:szCs w:val="24"/>
        </w:rPr>
        <w:t>2019</w:t>
      </w:r>
    </w:p>
    <w:p w14:paraId="2CF9A08A" w14:textId="248A6A48" w:rsidR="00026124" w:rsidRPr="00136BB0" w:rsidRDefault="00026124" w:rsidP="006C463D">
      <w:pPr>
        <w:pStyle w:val="ListParagraph"/>
        <w:numPr>
          <w:ilvl w:val="0"/>
          <w:numId w:val="8"/>
        </w:numPr>
        <w:spacing w:before="100" w:beforeAutospacing="1" w:after="100" w:afterAutospacing="1" w:line="40" w:lineRule="atLeast"/>
        <w:rPr>
          <w:rFonts w:ascii="Times New Roman" w:hAnsi="Times New Roman"/>
          <w:sz w:val="24"/>
          <w:szCs w:val="24"/>
        </w:rPr>
      </w:pPr>
      <w:r w:rsidRPr="00136BB0">
        <w:rPr>
          <w:rFonts w:ascii="Times New Roman" w:hAnsi="Times New Roman"/>
          <w:sz w:val="24"/>
          <w:szCs w:val="24"/>
        </w:rPr>
        <w:t xml:space="preserve">Centers for Disease Control and Prevention (CDC), </w:t>
      </w:r>
      <w:r w:rsidRPr="00437D26">
        <w:rPr>
          <w:rFonts w:ascii="Times New Roman" w:hAnsi="Times New Roman"/>
          <w:bCs/>
          <w:sz w:val="24"/>
          <w:szCs w:val="24"/>
        </w:rPr>
        <w:t xml:space="preserve">Diseases characterized by vaginal discharge. In: Sexually transmitted </w:t>
      </w:r>
      <w:r w:rsidRPr="00136BB0">
        <w:rPr>
          <w:rFonts w:ascii="Times New Roman" w:hAnsi="Times New Roman"/>
          <w:bCs/>
          <w:sz w:val="24"/>
          <w:szCs w:val="24"/>
        </w:rPr>
        <w:t>diseases treatment guidelines, 2010. AHRQ National Guideline Clearinghouse, Guideline Summary NGC-8235</w:t>
      </w:r>
      <w:r w:rsidR="00363285" w:rsidRPr="00136BB0">
        <w:rPr>
          <w:rFonts w:ascii="Times New Roman" w:hAnsi="Times New Roman"/>
          <w:bCs/>
          <w:sz w:val="24"/>
          <w:szCs w:val="24"/>
        </w:rPr>
        <w:t>. A</w:t>
      </w:r>
      <w:r w:rsidR="00363285" w:rsidRPr="00136BB0">
        <w:rPr>
          <w:rFonts w:ascii="Times New Roman" w:hAnsi="Times New Roman"/>
          <w:bCs/>
          <w:sz w:val="24"/>
          <w:szCs w:val="24"/>
          <w:lang w:val="en"/>
        </w:rPr>
        <w:t>ddendum released 2012 Aug 10)</w:t>
      </w:r>
      <w:r w:rsidRPr="00136BB0">
        <w:rPr>
          <w:rFonts w:ascii="Times New Roman" w:hAnsi="Times New Roman"/>
          <w:bCs/>
          <w:sz w:val="24"/>
          <w:szCs w:val="24"/>
        </w:rPr>
        <w:t xml:space="preserve"> </w:t>
      </w:r>
      <w:r w:rsidR="006C463D">
        <w:rPr>
          <w:rFonts w:ascii="Times New Roman" w:hAnsi="Times New Roman"/>
          <w:bCs/>
          <w:sz w:val="24"/>
          <w:szCs w:val="24"/>
        </w:rPr>
        <w:t xml:space="preserve">Updated 2015.  </w:t>
      </w:r>
      <w:r w:rsidRPr="00136BB0">
        <w:rPr>
          <w:rFonts w:ascii="Times New Roman" w:hAnsi="Times New Roman"/>
          <w:sz w:val="24"/>
          <w:szCs w:val="24"/>
        </w:rPr>
        <w:t xml:space="preserve">Accessed </w:t>
      </w:r>
      <w:r w:rsidR="00A530B8">
        <w:rPr>
          <w:rFonts w:ascii="Times New Roman" w:hAnsi="Times New Roman"/>
          <w:sz w:val="24"/>
          <w:szCs w:val="24"/>
        </w:rPr>
        <w:t>July 31, 2019.</w:t>
      </w:r>
    </w:p>
    <w:p w14:paraId="2CF9A08B" w14:textId="669AD67A" w:rsidR="00963062" w:rsidRPr="00136BB0" w:rsidRDefault="00026124" w:rsidP="00026124">
      <w:pPr>
        <w:numPr>
          <w:ilvl w:val="0"/>
          <w:numId w:val="8"/>
        </w:numPr>
        <w:rPr>
          <w:b/>
          <w:bCs/>
        </w:rPr>
      </w:pPr>
      <w:r w:rsidRPr="009349F1">
        <w:t xml:space="preserve">Ferris DG, Hendrich J, Payne PM, et al. Office laboratory diagnosis of vaginitis. Clinician-performed tests compared with a rapid nucleic acid hybridization test. </w:t>
      </w:r>
      <w:r w:rsidRPr="00E061EC">
        <w:t>J Fam Pract</w:t>
      </w:r>
      <w:r w:rsidRPr="009349F1">
        <w:t>. 1995;41</w:t>
      </w:r>
      <w:r w:rsidR="006B42FB" w:rsidRPr="009349F1">
        <w:t xml:space="preserve"> </w:t>
      </w:r>
      <w:r w:rsidRPr="000530DC">
        <w:t>(6):575-581.</w:t>
      </w:r>
      <w:r w:rsidR="006B42FB" w:rsidRPr="000530DC">
        <w:t xml:space="preserve"> Accessed </w:t>
      </w:r>
      <w:r w:rsidR="008456F1">
        <w:t>July 31, 2019.</w:t>
      </w:r>
      <w:r w:rsidR="006B42FB" w:rsidRPr="000530DC">
        <w:t xml:space="preserve"> </w:t>
      </w:r>
    </w:p>
    <w:p w14:paraId="2CF9A08C" w14:textId="4136BC75" w:rsidR="00620A65" w:rsidRPr="000530DC" w:rsidRDefault="00620A65" w:rsidP="00026124">
      <w:pPr>
        <w:numPr>
          <w:ilvl w:val="0"/>
          <w:numId w:val="8"/>
        </w:numPr>
        <w:rPr>
          <w:b/>
          <w:bCs/>
        </w:rPr>
      </w:pPr>
      <w:r w:rsidRPr="009349F1">
        <w:t>American Co</w:t>
      </w:r>
      <w:r w:rsidR="00B604E0" w:rsidRPr="009349F1">
        <w:t>ngress</w:t>
      </w:r>
      <w:r w:rsidRPr="009349F1">
        <w:t xml:space="preserve"> of Obstetricians and Gynecologists. Practice bulletin </w:t>
      </w:r>
      <w:r w:rsidR="00B604E0" w:rsidRPr="009349F1">
        <w:t xml:space="preserve">Number 72: Vaginitis. May 2006, reaffirmed </w:t>
      </w:r>
      <w:r w:rsidR="00D74C75" w:rsidRPr="009349F1">
        <w:t>201</w:t>
      </w:r>
      <w:r w:rsidR="00D74C75">
        <w:t>9</w:t>
      </w:r>
      <w:r w:rsidR="001F15E8" w:rsidRPr="00BD023A">
        <w:t xml:space="preserve">. Accessed </w:t>
      </w:r>
      <w:r w:rsidR="00D74C75">
        <w:t>July 31, 2019.</w:t>
      </w:r>
    </w:p>
    <w:p w14:paraId="2CF9A08D" w14:textId="58283F30" w:rsidR="00E7251A" w:rsidRPr="00136BB0" w:rsidRDefault="00E7251A" w:rsidP="00136BB0">
      <w:pPr>
        <w:numPr>
          <w:ilvl w:val="0"/>
          <w:numId w:val="8"/>
        </w:numPr>
        <w:rPr>
          <w:bCs/>
        </w:rPr>
      </w:pPr>
      <w:r w:rsidRPr="000530DC">
        <w:rPr>
          <w:bCs/>
        </w:rPr>
        <w:t>Kaufman CA</w:t>
      </w:r>
      <w:r w:rsidRPr="00136BB0">
        <w:rPr>
          <w:bCs/>
        </w:rPr>
        <w:t xml:space="preserve">. Overview of Candida infections. UpToDate. January 5, 2016. </w:t>
      </w:r>
      <w:r w:rsidR="00AF2CCB">
        <w:rPr>
          <w:bCs/>
        </w:rPr>
        <w:t xml:space="preserve">Update </w:t>
      </w:r>
      <w:r w:rsidR="00172A20">
        <w:rPr>
          <w:bCs/>
        </w:rPr>
        <w:t>December 05</w:t>
      </w:r>
      <w:r w:rsidR="00AF2CCB">
        <w:rPr>
          <w:bCs/>
        </w:rPr>
        <w:t xml:space="preserve">, </w:t>
      </w:r>
      <w:r w:rsidR="00172A20">
        <w:rPr>
          <w:bCs/>
        </w:rPr>
        <w:t xml:space="preserve">2017 </w:t>
      </w:r>
      <w:r w:rsidRPr="00136BB0">
        <w:rPr>
          <w:bCs/>
        </w:rPr>
        <w:t xml:space="preserve">Accessed </w:t>
      </w:r>
      <w:r w:rsidR="00116A22">
        <w:rPr>
          <w:bCs/>
        </w:rPr>
        <w:t>July 31, 2019</w:t>
      </w:r>
      <w:r w:rsidRPr="00136BB0">
        <w:rPr>
          <w:bCs/>
        </w:rPr>
        <w:t xml:space="preserve">. </w:t>
      </w:r>
      <w:r w:rsidRPr="000530DC">
        <w:rPr>
          <w:bCs/>
        </w:rPr>
        <w:t xml:space="preserve"> </w:t>
      </w:r>
    </w:p>
    <w:p w14:paraId="2CF9A08E" w14:textId="3B392D9C" w:rsidR="00F304D1" w:rsidRPr="000530DC" w:rsidRDefault="00F304D1" w:rsidP="00136BB0">
      <w:pPr>
        <w:numPr>
          <w:ilvl w:val="0"/>
          <w:numId w:val="8"/>
        </w:numPr>
        <w:rPr>
          <w:b/>
          <w:bCs/>
        </w:rPr>
      </w:pPr>
      <w:r w:rsidRPr="00136BB0">
        <w:t xml:space="preserve">Kinny RG, Spach DH. Vaginitis. National Sexually Transmitted Disease Curriculum. February 2017. </w:t>
      </w:r>
      <w:r w:rsidR="00116A22">
        <w:t xml:space="preserve">  Updated Oct 26, 2018.  </w:t>
      </w:r>
      <w:r w:rsidRPr="00136BB0">
        <w:t xml:space="preserve">Available at: </w:t>
      </w:r>
      <w:hyperlink r:id="rId15" w:anchor="summary-points" w:history="1">
        <w:r w:rsidRPr="00136BB0">
          <w:rPr>
            <w:rStyle w:val="Hyperlink"/>
          </w:rPr>
          <w:t>http://www</w:t>
        </w:r>
        <w:bookmarkStart w:id="2" w:name="_GoBack"/>
        <w:bookmarkEnd w:id="2"/>
        <w:r w:rsidRPr="00136BB0">
          <w:rPr>
            <w:rStyle w:val="Hyperlink"/>
          </w:rPr>
          <w:t>.</w:t>
        </w:r>
        <w:r w:rsidRPr="00136BB0">
          <w:rPr>
            <w:rStyle w:val="Hyperlink"/>
          </w:rPr>
          <w:t>std.uw.edu/go/syndrome-based/vaginal-discharge/core-concept/all#summary-points</w:t>
        </w:r>
      </w:hyperlink>
      <w:r w:rsidRPr="00136BB0">
        <w:t xml:space="preserve">  </w:t>
      </w:r>
    </w:p>
    <w:p w14:paraId="2CF9A08F" w14:textId="0E67B5BC" w:rsidR="00F71FB1" w:rsidRPr="000530DC" w:rsidRDefault="0014562F" w:rsidP="00026124">
      <w:pPr>
        <w:numPr>
          <w:ilvl w:val="0"/>
          <w:numId w:val="8"/>
        </w:numPr>
        <w:rPr>
          <w:b/>
          <w:bCs/>
        </w:rPr>
      </w:pPr>
      <w:r w:rsidRPr="00136BB0">
        <w:t>Sobel JD. Approach to women with symptoms of vaginitis. UpToDate. August 19, 2016.</w:t>
      </w:r>
      <w:r w:rsidR="00116A22">
        <w:t xml:space="preserve">  </w:t>
      </w:r>
      <w:r w:rsidR="00AF2CCB">
        <w:t>Update</w:t>
      </w:r>
      <w:r w:rsidR="00116A22">
        <w:t>d</w:t>
      </w:r>
      <w:r w:rsidR="00AF2CCB">
        <w:t xml:space="preserve"> </w:t>
      </w:r>
      <w:r w:rsidR="00116A22">
        <w:t>June 20</w:t>
      </w:r>
      <w:r w:rsidR="00AF2CCB">
        <w:t xml:space="preserve">, </w:t>
      </w:r>
      <w:r w:rsidR="00116A22">
        <w:t xml:space="preserve">2019.   </w:t>
      </w:r>
      <w:r w:rsidRPr="00136BB0">
        <w:t xml:space="preserve">Accessed </w:t>
      </w:r>
      <w:r w:rsidR="00116A22">
        <w:t>Aug 1, 2019</w:t>
      </w:r>
      <w:r w:rsidRPr="00136BB0">
        <w:t xml:space="preserve">.  </w:t>
      </w:r>
    </w:p>
    <w:p w14:paraId="2CF9A090" w14:textId="77777777" w:rsidR="008D67DC" w:rsidRPr="000530DC" w:rsidRDefault="008D67DC" w:rsidP="00026124">
      <w:pPr>
        <w:numPr>
          <w:ilvl w:val="0"/>
          <w:numId w:val="8"/>
        </w:numPr>
        <w:rPr>
          <w:b/>
          <w:bCs/>
        </w:rPr>
      </w:pPr>
      <w:r w:rsidRPr="000530DC">
        <w:rPr>
          <w:bCs/>
        </w:rPr>
        <w:t>U.S. Preventive Services Task Force (USPSTF).</w:t>
      </w:r>
      <w:r w:rsidRPr="00136BB0">
        <w:rPr>
          <w:b/>
          <w:bCs/>
        </w:rPr>
        <w:t xml:space="preserve"> </w:t>
      </w:r>
      <w:r w:rsidRPr="000530DC">
        <w:rPr>
          <w:color w:val="333333"/>
          <w:lang w:val="en"/>
        </w:rPr>
        <w:t>Screening for bacterial vaginosis in pregnancy to prevent preterm delivery: U.S. Preventive Services Task Force recommendation statement. Ann Intern Med. 2008;148(3):214-219.</w:t>
      </w:r>
    </w:p>
    <w:p w14:paraId="2CF9A091" w14:textId="0670EB8A" w:rsidR="00136BB0" w:rsidRDefault="001A59AF" w:rsidP="002A0623">
      <w:pPr>
        <w:numPr>
          <w:ilvl w:val="0"/>
          <w:numId w:val="8"/>
        </w:numPr>
      </w:pPr>
      <w:r w:rsidRPr="007A5D8A">
        <w:rPr>
          <w:bCs/>
        </w:rPr>
        <w:t>Vaginitis Panels by Direct DNA Probe. Diagnostic Laboratory Services. October 2012.</w:t>
      </w:r>
      <w:r w:rsidR="007A5D8A">
        <w:t xml:space="preserve">  </w:t>
      </w:r>
      <w:r w:rsidR="00906CD9" w:rsidRPr="00136BB0">
        <w:t xml:space="preserve">Accessed </w:t>
      </w:r>
      <w:r w:rsidR="00B464DF">
        <w:t>Aug 7</w:t>
      </w:r>
      <w:r w:rsidR="005336F1">
        <w:t xml:space="preserve">, </w:t>
      </w:r>
      <w:r w:rsidR="005336F1" w:rsidRPr="00136BB0">
        <w:t>2018</w:t>
      </w:r>
      <w:r w:rsidR="00906CD9" w:rsidRPr="00136BB0">
        <w:t xml:space="preserve">. </w:t>
      </w:r>
    </w:p>
    <w:p w14:paraId="2CF9A092" w14:textId="4A65CC67" w:rsidR="00963062" w:rsidRPr="00136BB0" w:rsidRDefault="001A59AF" w:rsidP="00026124">
      <w:pPr>
        <w:pStyle w:val="ListParagraph"/>
        <w:numPr>
          <w:ilvl w:val="0"/>
          <w:numId w:val="8"/>
        </w:numPr>
        <w:tabs>
          <w:tab w:val="left" w:pos="360"/>
        </w:tabs>
        <w:rPr>
          <w:rFonts w:ascii="Times New Roman" w:hAnsi="Times New Roman"/>
          <w:sz w:val="24"/>
          <w:szCs w:val="24"/>
        </w:rPr>
      </w:pPr>
      <w:r w:rsidRPr="000530DC">
        <w:rPr>
          <w:rFonts w:ascii="Times New Roman" w:hAnsi="Times New Roman"/>
          <w:sz w:val="24"/>
          <w:szCs w:val="24"/>
        </w:rPr>
        <w:t xml:space="preserve">Van Der Pol B. Clinical and Laboratory Testing for Trichomonas Vaginalis Infection. J Clin Microbiology. </w:t>
      </w:r>
      <w:r w:rsidR="005336F1" w:rsidRPr="000530DC">
        <w:rPr>
          <w:rFonts w:ascii="Times New Roman" w:hAnsi="Times New Roman"/>
          <w:sz w:val="24"/>
          <w:szCs w:val="24"/>
        </w:rPr>
        <w:t>V.54 (</w:t>
      </w:r>
      <w:r w:rsidRPr="000530DC">
        <w:rPr>
          <w:rFonts w:ascii="Times New Roman" w:hAnsi="Times New Roman"/>
          <w:sz w:val="24"/>
          <w:szCs w:val="24"/>
        </w:rPr>
        <w:t>1); 2016 Jan</w:t>
      </w:r>
    </w:p>
    <w:p w14:paraId="2CF9A093" w14:textId="77777777" w:rsidR="003C5F53" w:rsidRPr="00EF6CBF" w:rsidRDefault="003C5F53" w:rsidP="003C5F53">
      <w:pPr>
        <w:rPr>
          <w:rFonts w:eastAsia="Calibri"/>
          <w:b/>
          <w:u w:val="single"/>
        </w:rPr>
      </w:pPr>
      <w:bookmarkStart w:id="3" w:name="Important_Reminder"/>
      <w:r w:rsidRPr="00EF6CBF">
        <w:rPr>
          <w:rFonts w:eastAsia="Calibri"/>
          <w:b/>
          <w:bCs/>
          <w:u w:val="single"/>
        </w:rPr>
        <w:t>Important Reminder</w:t>
      </w:r>
      <w:bookmarkEnd w:id="3"/>
    </w:p>
    <w:p w14:paraId="2CF9A094" w14:textId="77777777" w:rsidR="003C5F53" w:rsidRPr="00EF6CBF" w:rsidRDefault="003C5F53" w:rsidP="003C5F53">
      <w:pPr>
        <w:rPr>
          <w:rFonts w:eastAsia="Calibri"/>
        </w:rPr>
      </w:pPr>
      <w:r w:rsidRPr="00EF6CBF">
        <w:rPr>
          <w:rFonts w:eastAsia="Calibr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EF6CBF">
        <w:rPr>
          <w:rFonts w:eastAsia="Calibri"/>
          <w:iCs/>
        </w:rPr>
        <w:t>The Health Plan</w:t>
      </w:r>
      <w:r w:rsidRPr="00EF6CBF">
        <w:rPr>
          <w:rFonts w:eastAsia="Calibr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2CF9A095" w14:textId="77777777" w:rsidR="003C5F53" w:rsidRPr="00EF6CBF" w:rsidRDefault="003C5F53" w:rsidP="003C5F53">
      <w:pPr>
        <w:rPr>
          <w:rFonts w:eastAsia="Calibri"/>
        </w:rPr>
      </w:pPr>
    </w:p>
    <w:p w14:paraId="2CF9A096" w14:textId="77777777" w:rsidR="003C5F53" w:rsidRPr="00EF6CBF" w:rsidRDefault="003C5F53" w:rsidP="003C5F53">
      <w:pPr>
        <w:rPr>
          <w:rFonts w:eastAsia="Calibri"/>
        </w:rPr>
      </w:pPr>
      <w:r w:rsidRPr="00EF6CBF">
        <w:rPr>
          <w:rFonts w:eastAsia="Calibr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CF9A097" w14:textId="77777777" w:rsidR="003C5F53" w:rsidRPr="00EF6CBF" w:rsidRDefault="003C5F53" w:rsidP="003C5F53">
      <w:pPr>
        <w:rPr>
          <w:rFonts w:eastAsia="Calibri"/>
        </w:rPr>
      </w:pPr>
    </w:p>
    <w:p w14:paraId="2CF9A098" w14:textId="77777777" w:rsidR="003C5F53" w:rsidRPr="00EF6CBF" w:rsidRDefault="003C5F53" w:rsidP="003C5F53">
      <w:pPr>
        <w:rPr>
          <w:color w:val="002868"/>
        </w:rPr>
      </w:pPr>
      <w:r w:rsidRPr="00EF6CBF">
        <w:rPr>
          <w:rFonts w:eastAsia="Calibr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CF9A099" w14:textId="77777777" w:rsidR="003C5F53" w:rsidRPr="00EF6CBF" w:rsidRDefault="003C5F53" w:rsidP="003C5F53">
      <w:pPr>
        <w:rPr>
          <w:rFonts w:eastAsia="Calibri"/>
        </w:rPr>
      </w:pPr>
    </w:p>
    <w:p w14:paraId="2CF9A09A" w14:textId="77777777" w:rsidR="003C5F53" w:rsidRPr="00EF6CBF" w:rsidRDefault="003C5F53" w:rsidP="003C5F53">
      <w:pPr>
        <w:rPr>
          <w:rFonts w:eastAsia="Calibri"/>
        </w:rPr>
      </w:pPr>
      <w:r w:rsidRPr="00EF6CBF">
        <w:rPr>
          <w:rFonts w:eastAsia="Calibr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2CF9A09B" w14:textId="77777777" w:rsidR="003C5F53" w:rsidRPr="00EF6CBF" w:rsidRDefault="003C5F53" w:rsidP="003C5F53">
      <w:pPr>
        <w:rPr>
          <w:rFonts w:eastAsia="Calibri"/>
        </w:rPr>
      </w:pPr>
    </w:p>
    <w:p w14:paraId="2CF9A09C" w14:textId="77777777" w:rsidR="003C5F53" w:rsidRPr="00EF6CBF" w:rsidRDefault="003C5F53" w:rsidP="003C5F53">
      <w:pPr>
        <w:rPr>
          <w:rFonts w:eastAsia="Calibri"/>
        </w:rPr>
      </w:pPr>
      <w:r w:rsidRPr="00EF6CBF">
        <w:rPr>
          <w:rFonts w:eastAsia="Calibri"/>
        </w:rPr>
        <w:t>Providers referred to in this clinical policy are independent contractors who exercise independent judgment and over whom the Health Plan has no control or right of control.  Providers are not agents or employees of the Health Plan.</w:t>
      </w:r>
    </w:p>
    <w:p w14:paraId="2CF9A09D" w14:textId="77777777" w:rsidR="003C5F53" w:rsidRPr="00EF6CBF" w:rsidRDefault="003C5F53" w:rsidP="003C5F53">
      <w:pPr>
        <w:rPr>
          <w:rFonts w:eastAsia="Calibri"/>
        </w:rPr>
      </w:pPr>
    </w:p>
    <w:p w14:paraId="2CF9A09E" w14:textId="77777777" w:rsidR="003C5F53" w:rsidRPr="00EF6CBF" w:rsidRDefault="003C5F53" w:rsidP="003C5F53">
      <w:pPr>
        <w:rPr>
          <w:rFonts w:eastAsia="Calibri"/>
        </w:rPr>
      </w:pPr>
      <w:r w:rsidRPr="00EF6CBF">
        <w:rPr>
          <w:rFonts w:eastAsia="Calibri"/>
        </w:rPr>
        <w:t xml:space="preserve">This clinical policy is the property of </w:t>
      </w:r>
      <w:r w:rsidRPr="00EF6CBF">
        <w:rPr>
          <w:rFonts w:eastAsia="Calibri"/>
          <w:iCs/>
        </w:rPr>
        <w:t>the Health Plan</w:t>
      </w:r>
      <w:r w:rsidRPr="00EF6CBF">
        <w:rPr>
          <w:rFonts w:eastAsia="Calibr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CF9A09F" w14:textId="77777777" w:rsidR="003C5F53" w:rsidRPr="00EF6CBF" w:rsidRDefault="003C5F53" w:rsidP="003C5F53">
      <w:pPr>
        <w:autoSpaceDE w:val="0"/>
        <w:autoSpaceDN w:val="0"/>
        <w:adjustRightInd w:val="0"/>
        <w:rPr>
          <w:rFonts w:eastAsia="Calibri"/>
          <w:color w:val="000000"/>
        </w:rPr>
      </w:pPr>
    </w:p>
    <w:p w14:paraId="2CF9A0A0" w14:textId="77777777" w:rsidR="003C5F53" w:rsidRPr="00EF6CBF" w:rsidRDefault="003C5F53" w:rsidP="003C5F53">
      <w:pPr>
        <w:autoSpaceDE w:val="0"/>
        <w:autoSpaceDN w:val="0"/>
        <w:adjustRightInd w:val="0"/>
        <w:rPr>
          <w:rFonts w:eastAsia="Calibri"/>
          <w:color w:val="000000"/>
        </w:rPr>
      </w:pPr>
      <w:r w:rsidRPr="00EF6CBF">
        <w:rPr>
          <w:rFonts w:eastAsia="Calibri"/>
          <w:b/>
          <w:color w:val="000000"/>
        </w:rPr>
        <w:t>Note: For Medicaid members</w:t>
      </w:r>
      <w:r w:rsidRPr="00EF6CBF">
        <w:rPr>
          <w:rFonts w:eastAsia="Calibr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CF9A0A1" w14:textId="77777777" w:rsidR="003C5F53" w:rsidRPr="00EF6CBF" w:rsidRDefault="003C5F53" w:rsidP="003C5F53">
      <w:pPr>
        <w:rPr>
          <w:rFonts w:eastAsia="Calibri"/>
        </w:rPr>
      </w:pPr>
    </w:p>
    <w:p w14:paraId="2CF9A0A2" w14:textId="77777777" w:rsidR="003C5F53" w:rsidRPr="00EF6CBF" w:rsidRDefault="003C5F53" w:rsidP="003C5F53">
      <w:pPr>
        <w:autoSpaceDE w:val="0"/>
        <w:autoSpaceDN w:val="0"/>
        <w:adjustRightInd w:val="0"/>
        <w:rPr>
          <w:color w:val="000000"/>
        </w:rPr>
      </w:pPr>
      <w:r w:rsidRPr="00EF6CBF">
        <w:rPr>
          <w:rFonts w:eastAsia="Calibri"/>
          <w:b/>
          <w:bCs/>
          <w:color w:val="000000"/>
        </w:rPr>
        <w:t xml:space="preserve">Note: For Medicare members, </w:t>
      </w:r>
      <w:r w:rsidRPr="00EF6CBF">
        <w:rPr>
          <w:rFonts w:eastAsia="Calibri"/>
          <w:color w:val="000000"/>
        </w:rPr>
        <w:t xml:space="preserve">to ensure consistency with the Medicare National Coverage Determinations (NCD) and Local Coverage Determinations (LCD), all applicable NCDs and LCDs </w:t>
      </w:r>
      <w:r w:rsidR="00654395">
        <w:rPr>
          <w:rFonts w:eastAsia="Calibri"/>
          <w:color w:val="000000"/>
        </w:rPr>
        <w:t xml:space="preserve">and Medicare Coverage Articles </w:t>
      </w:r>
      <w:r w:rsidRPr="00EF6CBF">
        <w:rPr>
          <w:rFonts w:eastAsia="Calibri"/>
          <w:color w:val="000000"/>
        </w:rPr>
        <w:t xml:space="preserve">should be reviewed </w:t>
      </w:r>
      <w:r w:rsidRPr="00EF6CBF">
        <w:rPr>
          <w:rFonts w:eastAsia="Calibri"/>
          <w:color w:val="000000"/>
          <w:u w:val="single"/>
        </w:rPr>
        <w:t>prior to</w:t>
      </w:r>
      <w:r w:rsidRPr="00EF6CBF">
        <w:rPr>
          <w:rFonts w:eastAsia="Calibri"/>
          <w:color w:val="000000"/>
        </w:rPr>
        <w:t xml:space="preserve"> applying the criteria set forth in this clinical policy. Refer to the CMS website at </w:t>
      </w:r>
      <w:hyperlink r:id="rId16" w:history="1">
        <w:r w:rsidRPr="00EF6CBF">
          <w:rPr>
            <w:rFonts w:eastAsia="Calibri"/>
            <w:color w:val="000000"/>
            <w:u w:val="single"/>
          </w:rPr>
          <w:t>http://www.cms.gov</w:t>
        </w:r>
      </w:hyperlink>
      <w:r w:rsidRPr="00EF6CBF">
        <w:rPr>
          <w:rFonts w:eastAsia="Calibri"/>
          <w:color w:val="000000"/>
        </w:rPr>
        <w:t xml:space="preserve"> for additional information.</w:t>
      </w:r>
      <w:r w:rsidRPr="00EF6CBF">
        <w:rPr>
          <w:color w:val="000000"/>
        </w:rPr>
        <w:t xml:space="preserve"> </w:t>
      </w:r>
    </w:p>
    <w:p w14:paraId="2CF9A0A3" w14:textId="77777777" w:rsidR="003C5F53" w:rsidRPr="00EF6CBF" w:rsidRDefault="003C5F53" w:rsidP="003C5F53">
      <w:pPr>
        <w:rPr>
          <w:iCs/>
        </w:rPr>
      </w:pPr>
    </w:p>
    <w:p w14:paraId="2CF9A0A4" w14:textId="77777777" w:rsidR="003C5F53" w:rsidRPr="00EF6CBF" w:rsidRDefault="003C5F53" w:rsidP="003C5F53">
      <w:pPr>
        <w:rPr>
          <w:iCs/>
        </w:rPr>
      </w:pPr>
      <w:r w:rsidRPr="00EF6CBF">
        <w:rPr>
          <w:iCs/>
        </w:rPr>
        <w:t>©201</w:t>
      </w:r>
      <w:r w:rsidR="00BD023A">
        <w:rPr>
          <w:iCs/>
        </w:rPr>
        <w:t>6</w:t>
      </w:r>
      <w:r w:rsidRPr="00EF6CBF">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EF6CBF">
        <w:rPr>
          <w:iCs/>
          <w:vertAlign w:val="superscript"/>
        </w:rPr>
        <w:t>®</w:t>
      </w:r>
      <w:r w:rsidRPr="00EF6CBF">
        <w:rPr>
          <w:iCs/>
        </w:rPr>
        <w:t xml:space="preserve"> and Centene Corporation</w:t>
      </w:r>
      <w:r w:rsidRPr="00EF6CBF">
        <w:rPr>
          <w:iCs/>
          <w:vertAlign w:val="superscript"/>
        </w:rPr>
        <w:t>®</w:t>
      </w:r>
      <w:r w:rsidRPr="00EF6CBF">
        <w:rPr>
          <w:iCs/>
        </w:rPr>
        <w:t xml:space="preserve"> are registered trademarks exclusively owned by Centene Corporation.</w:t>
      </w:r>
    </w:p>
    <w:p w14:paraId="2CF9A0A5" w14:textId="77777777" w:rsidR="00C75BD4" w:rsidRPr="00EF6CBF" w:rsidRDefault="00C75BD4" w:rsidP="00AF5490"/>
    <w:sectPr w:rsidR="00C75BD4" w:rsidRPr="00EF6CBF"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C9A9" w14:textId="77777777" w:rsidR="00C056C8" w:rsidRDefault="00C056C8">
      <w:r>
        <w:separator/>
      </w:r>
    </w:p>
  </w:endnote>
  <w:endnote w:type="continuationSeparator" w:id="0">
    <w:p w14:paraId="3CE47902" w14:textId="77777777" w:rsidR="00C056C8" w:rsidRDefault="00C0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A0AC" w14:textId="205A4628" w:rsidR="00C93A60" w:rsidRPr="00D574CA" w:rsidRDefault="00C93A60" w:rsidP="00D574CA">
    <w:pPr>
      <w:pStyle w:val="Footer"/>
      <w:jc w:val="center"/>
    </w:pPr>
    <w:r>
      <w:t xml:space="preserve">Page </w:t>
    </w:r>
    <w:r>
      <w:rPr>
        <w:b/>
        <w:bCs/>
      </w:rPr>
      <w:fldChar w:fldCharType="begin"/>
    </w:r>
    <w:r>
      <w:rPr>
        <w:b/>
        <w:bCs/>
      </w:rPr>
      <w:instrText xml:space="preserve"> PAGE </w:instrText>
    </w:r>
    <w:r>
      <w:rPr>
        <w:b/>
        <w:bCs/>
      </w:rPr>
      <w:fldChar w:fldCharType="separate"/>
    </w:r>
    <w:r w:rsidR="005A7B1F">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A7B1F">
      <w:rPr>
        <w:b/>
        <w:bCs/>
        <w:noProof/>
      </w:rPr>
      <w:t>10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A0AE" w14:textId="097149FC" w:rsidR="00C93A60" w:rsidRDefault="00C93A60" w:rsidP="002C6AAB">
    <w:pPr>
      <w:pStyle w:val="Footer"/>
      <w:jc w:val="center"/>
    </w:pPr>
    <w:r>
      <w:t xml:space="preserve">Page </w:t>
    </w:r>
    <w:r>
      <w:fldChar w:fldCharType="begin"/>
    </w:r>
    <w:r>
      <w:instrText xml:space="preserve"> PAGE   \* MERGEFORMAT </w:instrText>
    </w:r>
    <w:r>
      <w:fldChar w:fldCharType="separate"/>
    </w:r>
    <w:r w:rsidR="005A7B1F">
      <w:rPr>
        <w:noProof/>
      </w:rPr>
      <w:t>1</w:t>
    </w:r>
    <w:r>
      <w:fldChar w:fldCharType="end"/>
    </w:r>
    <w:r>
      <w:t xml:space="preserve"> of </w:t>
    </w:r>
    <w:r w:rsidR="009B2199">
      <w:rPr>
        <w:noProof/>
      </w:rPr>
      <w:fldChar w:fldCharType="begin"/>
    </w:r>
    <w:r w:rsidR="009B2199">
      <w:rPr>
        <w:noProof/>
      </w:rPr>
      <w:instrText xml:space="preserve"> NUMPAGES   \* MERGEFORMAT </w:instrText>
    </w:r>
    <w:r w:rsidR="009B2199">
      <w:rPr>
        <w:noProof/>
      </w:rPr>
      <w:fldChar w:fldCharType="separate"/>
    </w:r>
    <w:r w:rsidR="005A7B1F">
      <w:rPr>
        <w:noProof/>
      </w:rPr>
      <w:t>10</w:t>
    </w:r>
    <w:r w:rsidR="009B21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414A" w14:textId="77777777" w:rsidR="00C056C8" w:rsidRDefault="00C056C8">
      <w:r>
        <w:separator/>
      </w:r>
    </w:p>
  </w:footnote>
  <w:footnote w:type="continuationSeparator" w:id="0">
    <w:p w14:paraId="4E4C6085" w14:textId="77777777" w:rsidR="00C056C8" w:rsidRDefault="00C0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A0AA" w14:textId="77777777" w:rsidR="00C93A60" w:rsidRPr="00B777AF" w:rsidRDefault="00C93A60"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2CF9A0AF" wp14:editId="2CF9A0B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CF9A0AB" w14:textId="77777777" w:rsidR="00C93A60" w:rsidRPr="00B777AF" w:rsidRDefault="004F5A0A" w:rsidP="00B777AF">
    <w:pPr>
      <w:rPr>
        <w:color w:val="00548C"/>
      </w:rPr>
    </w:pPr>
    <w:r>
      <w:rPr>
        <w:rFonts w:ascii="Times New Roman Bold" w:hAnsi="Times New Roman Bold"/>
        <w:b/>
        <w:bCs/>
        <w:color w:val="00548C"/>
      </w:rPr>
      <w:t>Testing for Select GU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A0AD" w14:textId="77777777" w:rsidR="00C93A60" w:rsidRDefault="00C93A60" w:rsidP="00B777AF">
    <w:pPr>
      <w:pStyle w:val="Header"/>
      <w:jc w:val="right"/>
    </w:pPr>
    <w:r>
      <w:rPr>
        <w:noProof/>
      </w:rPr>
      <w:drawing>
        <wp:inline distT="0" distB="0" distL="0" distR="0" wp14:anchorId="2CF9A0B1" wp14:editId="2CF9A0B2">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4ED"/>
    <w:multiLevelType w:val="hybridMultilevel"/>
    <w:tmpl w:val="542C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B32"/>
    <w:multiLevelType w:val="hybridMultilevel"/>
    <w:tmpl w:val="5A0CDB16"/>
    <w:lvl w:ilvl="0" w:tplc="D020EC3C">
      <w:start w:val="1"/>
      <w:numFmt w:val="decimal"/>
      <w:lvlText w:val="%1."/>
      <w:lvlJc w:val="left"/>
      <w:pPr>
        <w:ind w:left="720" w:hanging="360"/>
      </w:pPr>
      <w:rPr>
        <w:rFonts w:ascii="Cambria" w:hAnsi="Cambria" w:hint="default"/>
        <w:b w:val="0"/>
        <w:i w:val="0"/>
        <w:color w:val="auto"/>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7697"/>
    <w:multiLevelType w:val="hybridMultilevel"/>
    <w:tmpl w:val="536EF72E"/>
    <w:lvl w:ilvl="0" w:tplc="39F0301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395E"/>
    <w:multiLevelType w:val="hybridMultilevel"/>
    <w:tmpl w:val="E514E564"/>
    <w:lvl w:ilvl="0" w:tplc="C87253FC">
      <w:start w:val="1"/>
      <w:numFmt w:val="upperRoman"/>
      <w:lvlText w:val="%1."/>
      <w:lvlJc w:val="left"/>
      <w:pPr>
        <w:ind w:left="720" w:hanging="360"/>
      </w:pPr>
      <w:rPr>
        <w:rFonts w:hint="default"/>
        <w:b/>
        <w:vertAlign w:val="baseli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88755A"/>
    <w:multiLevelType w:val="hybridMultilevel"/>
    <w:tmpl w:val="93E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A218B"/>
    <w:multiLevelType w:val="hybridMultilevel"/>
    <w:tmpl w:val="2DCC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D143D"/>
    <w:multiLevelType w:val="hybridMultilevel"/>
    <w:tmpl w:val="3F5E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5"/>
  </w:num>
  <w:num w:numId="4">
    <w:abstractNumId w:val="6"/>
  </w:num>
  <w:num w:numId="5">
    <w:abstractNumId w:val="7"/>
  </w:num>
  <w:num w:numId="6">
    <w:abstractNumId w:val="10"/>
  </w:num>
  <w:num w:numId="7">
    <w:abstractNumId w:val="11"/>
  </w:num>
  <w:num w:numId="8">
    <w:abstractNumId w:val="3"/>
  </w:num>
  <w:num w:numId="9">
    <w:abstractNumId w:val="4"/>
  </w:num>
  <w:num w:numId="10">
    <w:abstractNumId w:val="8"/>
  </w:num>
  <w:num w:numId="11">
    <w:abstractNumId w:val="2"/>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7CB5"/>
    <w:rsid w:val="00026124"/>
    <w:rsid w:val="000465DE"/>
    <w:rsid w:val="0004733E"/>
    <w:rsid w:val="00047FE4"/>
    <w:rsid w:val="000530DC"/>
    <w:rsid w:val="00060509"/>
    <w:rsid w:val="00064FCF"/>
    <w:rsid w:val="00083740"/>
    <w:rsid w:val="00085632"/>
    <w:rsid w:val="000B7CAE"/>
    <w:rsid w:val="000E7980"/>
    <w:rsid w:val="000F10C2"/>
    <w:rsid w:val="000F2AEF"/>
    <w:rsid w:val="000F304F"/>
    <w:rsid w:val="00116A22"/>
    <w:rsid w:val="00125927"/>
    <w:rsid w:val="00136BB0"/>
    <w:rsid w:val="0014316D"/>
    <w:rsid w:val="0014562F"/>
    <w:rsid w:val="00150E9D"/>
    <w:rsid w:val="001553F1"/>
    <w:rsid w:val="00170B14"/>
    <w:rsid w:val="00172A20"/>
    <w:rsid w:val="001764A1"/>
    <w:rsid w:val="001818D7"/>
    <w:rsid w:val="00185104"/>
    <w:rsid w:val="00195CF9"/>
    <w:rsid w:val="001962BE"/>
    <w:rsid w:val="00196689"/>
    <w:rsid w:val="00196935"/>
    <w:rsid w:val="0019746F"/>
    <w:rsid w:val="001A59AF"/>
    <w:rsid w:val="001A71C3"/>
    <w:rsid w:val="001B54E5"/>
    <w:rsid w:val="001D0D34"/>
    <w:rsid w:val="001D5147"/>
    <w:rsid w:val="001D70D4"/>
    <w:rsid w:val="001E1A25"/>
    <w:rsid w:val="001E1F4D"/>
    <w:rsid w:val="001E7D12"/>
    <w:rsid w:val="001F15E8"/>
    <w:rsid w:val="001F2FC0"/>
    <w:rsid w:val="0020675F"/>
    <w:rsid w:val="00220736"/>
    <w:rsid w:val="00230FE4"/>
    <w:rsid w:val="00233651"/>
    <w:rsid w:val="00254020"/>
    <w:rsid w:val="0025452A"/>
    <w:rsid w:val="002632A7"/>
    <w:rsid w:val="00280C6C"/>
    <w:rsid w:val="00281A43"/>
    <w:rsid w:val="00281D52"/>
    <w:rsid w:val="00285997"/>
    <w:rsid w:val="002A0623"/>
    <w:rsid w:val="002A39EE"/>
    <w:rsid w:val="002B749D"/>
    <w:rsid w:val="002C6AAB"/>
    <w:rsid w:val="002D019A"/>
    <w:rsid w:val="002D758E"/>
    <w:rsid w:val="002E48E7"/>
    <w:rsid w:val="002E5174"/>
    <w:rsid w:val="002E64C4"/>
    <w:rsid w:val="003140D6"/>
    <w:rsid w:val="003159F2"/>
    <w:rsid w:val="00332B04"/>
    <w:rsid w:val="00333A57"/>
    <w:rsid w:val="003364B8"/>
    <w:rsid w:val="00350F22"/>
    <w:rsid w:val="00353163"/>
    <w:rsid w:val="00357BDE"/>
    <w:rsid w:val="00360CE0"/>
    <w:rsid w:val="00363285"/>
    <w:rsid w:val="00370E2F"/>
    <w:rsid w:val="00371DCB"/>
    <w:rsid w:val="003840CC"/>
    <w:rsid w:val="00384B93"/>
    <w:rsid w:val="00390513"/>
    <w:rsid w:val="00391B88"/>
    <w:rsid w:val="003A1F5D"/>
    <w:rsid w:val="003A7B05"/>
    <w:rsid w:val="003B1ED2"/>
    <w:rsid w:val="003B7A70"/>
    <w:rsid w:val="003C5F53"/>
    <w:rsid w:val="003D062F"/>
    <w:rsid w:val="003D47A7"/>
    <w:rsid w:val="003D63BD"/>
    <w:rsid w:val="003D7BE7"/>
    <w:rsid w:val="004003AE"/>
    <w:rsid w:val="00407867"/>
    <w:rsid w:val="00422E50"/>
    <w:rsid w:val="00437D26"/>
    <w:rsid w:val="0045529A"/>
    <w:rsid w:val="004611C6"/>
    <w:rsid w:val="00470D11"/>
    <w:rsid w:val="00472C6C"/>
    <w:rsid w:val="00480C09"/>
    <w:rsid w:val="00496BCF"/>
    <w:rsid w:val="00497AED"/>
    <w:rsid w:val="004A2488"/>
    <w:rsid w:val="004C70F6"/>
    <w:rsid w:val="004D6A15"/>
    <w:rsid w:val="004E0B99"/>
    <w:rsid w:val="004E5320"/>
    <w:rsid w:val="004F5A0A"/>
    <w:rsid w:val="004F6394"/>
    <w:rsid w:val="00505830"/>
    <w:rsid w:val="005103B8"/>
    <w:rsid w:val="005175C1"/>
    <w:rsid w:val="00527365"/>
    <w:rsid w:val="00530607"/>
    <w:rsid w:val="005336F1"/>
    <w:rsid w:val="0053654B"/>
    <w:rsid w:val="005423D4"/>
    <w:rsid w:val="00543105"/>
    <w:rsid w:val="005537B0"/>
    <w:rsid w:val="00566831"/>
    <w:rsid w:val="005776FD"/>
    <w:rsid w:val="00583376"/>
    <w:rsid w:val="00597DEA"/>
    <w:rsid w:val="005A7B1F"/>
    <w:rsid w:val="005B4CDD"/>
    <w:rsid w:val="005C17DF"/>
    <w:rsid w:val="005C3607"/>
    <w:rsid w:val="005D009F"/>
    <w:rsid w:val="005D5146"/>
    <w:rsid w:val="005E411E"/>
    <w:rsid w:val="005F53EE"/>
    <w:rsid w:val="00610C61"/>
    <w:rsid w:val="00620A65"/>
    <w:rsid w:val="00622234"/>
    <w:rsid w:val="006333FD"/>
    <w:rsid w:val="00640B25"/>
    <w:rsid w:val="006474BB"/>
    <w:rsid w:val="006519BD"/>
    <w:rsid w:val="00654395"/>
    <w:rsid w:val="00664220"/>
    <w:rsid w:val="00664A87"/>
    <w:rsid w:val="006664E9"/>
    <w:rsid w:val="006711E3"/>
    <w:rsid w:val="006B42FB"/>
    <w:rsid w:val="006C463D"/>
    <w:rsid w:val="006E1F1A"/>
    <w:rsid w:val="006E4A75"/>
    <w:rsid w:val="006F2687"/>
    <w:rsid w:val="006F4D70"/>
    <w:rsid w:val="006F57D3"/>
    <w:rsid w:val="00700B1E"/>
    <w:rsid w:val="007043AE"/>
    <w:rsid w:val="00710DDB"/>
    <w:rsid w:val="00744250"/>
    <w:rsid w:val="007442D0"/>
    <w:rsid w:val="00752D46"/>
    <w:rsid w:val="007764CE"/>
    <w:rsid w:val="007A0BCC"/>
    <w:rsid w:val="007A5D8A"/>
    <w:rsid w:val="007B07AE"/>
    <w:rsid w:val="007B0894"/>
    <w:rsid w:val="007B0A03"/>
    <w:rsid w:val="007B334E"/>
    <w:rsid w:val="007B50D0"/>
    <w:rsid w:val="007B66F9"/>
    <w:rsid w:val="007C1C03"/>
    <w:rsid w:val="007D4801"/>
    <w:rsid w:val="007D7780"/>
    <w:rsid w:val="007F1F19"/>
    <w:rsid w:val="00801012"/>
    <w:rsid w:val="008230C8"/>
    <w:rsid w:val="00830803"/>
    <w:rsid w:val="008333DD"/>
    <w:rsid w:val="008456F1"/>
    <w:rsid w:val="00852680"/>
    <w:rsid w:val="00857C10"/>
    <w:rsid w:val="00872F0C"/>
    <w:rsid w:val="00875924"/>
    <w:rsid w:val="00877EC7"/>
    <w:rsid w:val="008909D2"/>
    <w:rsid w:val="00896E94"/>
    <w:rsid w:val="008A07C8"/>
    <w:rsid w:val="008A7BCA"/>
    <w:rsid w:val="008B0705"/>
    <w:rsid w:val="008B305A"/>
    <w:rsid w:val="008C281D"/>
    <w:rsid w:val="008C6B3A"/>
    <w:rsid w:val="008D1BCB"/>
    <w:rsid w:val="008D67DC"/>
    <w:rsid w:val="00900527"/>
    <w:rsid w:val="00902C9B"/>
    <w:rsid w:val="00906CD9"/>
    <w:rsid w:val="009135E0"/>
    <w:rsid w:val="00913DF8"/>
    <w:rsid w:val="00915CA4"/>
    <w:rsid w:val="00917B4C"/>
    <w:rsid w:val="00920D11"/>
    <w:rsid w:val="009349F1"/>
    <w:rsid w:val="00957397"/>
    <w:rsid w:val="00961071"/>
    <w:rsid w:val="00963062"/>
    <w:rsid w:val="009717B6"/>
    <w:rsid w:val="009735FA"/>
    <w:rsid w:val="00977ECA"/>
    <w:rsid w:val="00982180"/>
    <w:rsid w:val="00986D2F"/>
    <w:rsid w:val="009928B2"/>
    <w:rsid w:val="009B2199"/>
    <w:rsid w:val="009C61B2"/>
    <w:rsid w:val="009E6F29"/>
    <w:rsid w:val="00A00E88"/>
    <w:rsid w:val="00A20ADE"/>
    <w:rsid w:val="00A41969"/>
    <w:rsid w:val="00A530B8"/>
    <w:rsid w:val="00A60413"/>
    <w:rsid w:val="00A60BFD"/>
    <w:rsid w:val="00A70DFE"/>
    <w:rsid w:val="00A714C6"/>
    <w:rsid w:val="00A72DB6"/>
    <w:rsid w:val="00A74DFA"/>
    <w:rsid w:val="00A83658"/>
    <w:rsid w:val="00A85489"/>
    <w:rsid w:val="00A85E7A"/>
    <w:rsid w:val="00A87B1F"/>
    <w:rsid w:val="00A97F56"/>
    <w:rsid w:val="00AA336E"/>
    <w:rsid w:val="00AA428E"/>
    <w:rsid w:val="00AC267A"/>
    <w:rsid w:val="00AC500C"/>
    <w:rsid w:val="00AD1AA6"/>
    <w:rsid w:val="00AF1F2A"/>
    <w:rsid w:val="00AF2CCB"/>
    <w:rsid w:val="00AF30EF"/>
    <w:rsid w:val="00AF5490"/>
    <w:rsid w:val="00B05ED3"/>
    <w:rsid w:val="00B119F6"/>
    <w:rsid w:val="00B23455"/>
    <w:rsid w:val="00B402DD"/>
    <w:rsid w:val="00B452D7"/>
    <w:rsid w:val="00B4633B"/>
    <w:rsid w:val="00B4644B"/>
    <w:rsid w:val="00B464DF"/>
    <w:rsid w:val="00B604E0"/>
    <w:rsid w:val="00B76ED5"/>
    <w:rsid w:val="00B777AF"/>
    <w:rsid w:val="00B81789"/>
    <w:rsid w:val="00B92DF1"/>
    <w:rsid w:val="00BB2E56"/>
    <w:rsid w:val="00BC6F79"/>
    <w:rsid w:val="00BD023A"/>
    <w:rsid w:val="00BD256A"/>
    <w:rsid w:val="00BF3565"/>
    <w:rsid w:val="00BF4150"/>
    <w:rsid w:val="00BF6AAE"/>
    <w:rsid w:val="00C006D6"/>
    <w:rsid w:val="00C056C8"/>
    <w:rsid w:val="00C079B0"/>
    <w:rsid w:val="00C14250"/>
    <w:rsid w:val="00C2297C"/>
    <w:rsid w:val="00C24816"/>
    <w:rsid w:val="00C26743"/>
    <w:rsid w:val="00C45349"/>
    <w:rsid w:val="00C507C8"/>
    <w:rsid w:val="00C5582B"/>
    <w:rsid w:val="00C64BB4"/>
    <w:rsid w:val="00C6666F"/>
    <w:rsid w:val="00C73CF5"/>
    <w:rsid w:val="00C75BD4"/>
    <w:rsid w:val="00C93A60"/>
    <w:rsid w:val="00CA0FA7"/>
    <w:rsid w:val="00CA53B9"/>
    <w:rsid w:val="00CA5A91"/>
    <w:rsid w:val="00CA5C08"/>
    <w:rsid w:val="00CA5D50"/>
    <w:rsid w:val="00CB0012"/>
    <w:rsid w:val="00CB213B"/>
    <w:rsid w:val="00CD3FA0"/>
    <w:rsid w:val="00CE1D3A"/>
    <w:rsid w:val="00CF2624"/>
    <w:rsid w:val="00D05E6B"/>
    <w:rsid w:val="00D06431"/>
    <w:rsid w:val="00D17795"/>
    <w:rsid w:val="00D36448"/>
    <w:rsid w:val="00D574CA"/>
    <w:rsid w:val="00D71BC4"/>
    <w:rsid w:val="00D729BA"/>
    <w:rsid w:val="00D74C75"/>
    <w:rsid w:val="00D8131E"/>
    <w:rsid w:val="00D8490D"/>
    <w:rsid w:val="00D84A99"/>
    <w:rsid w:val="00D959B8"/>
    <w:rsid w:val="00D963FE"/>
    <w:rsid w:val="00DB0EE7"/>
    <w:rsid w:val="00DB1DE9"/>
    <w:rsid w:val="00DB3F23"/>
    <w:rsid w:val="00DB7E95"/>
    <w:rsid w:val="00DD025A"/>
    <w:rsid w:val="00DD7D7A"/>
    <w:rsid w:val="00DE18E2"/>
    <w:rsid w:val="00DE1D96"/>
    <w:rsid w:val="00DE6F09"/>
    <w:rsid w:val="00E061EC"/>
    <w:rsid w:val="00E11B74"/>
    <w:rsid w:val="00E1777D"/>
    <w:rsid w:val="00E233A7"/>
    <w:rsid w:val="00E37337"/>
    <w:rsid w:val="00E42BCD"/>
    <w:rsid w:val="00E46897"/>
    <w:rsid w:val="00E4767C"/>
    <w:rsid w:val="00E5161C"/>
    <w:rsid w:val="00E549A2"/>
    <w:rsid w:val="00E60621"/>
    <w:rsid w:val="00E63D27"/>
    <w:rsid w:val="00E7251A"/>
    <w:rsid w:val="00E8791E"/>
    <w:rsid w:val="00E97C17"/>
    <w:rsid w:val="00EA2BE1"/>
    <w:rsid w:val="00EA3809"/>
    <w:rsid w:val="00EC320B"/>
    <w:rsid w:val="00ED0A0D"/>
    <w:rsid w:val="00EE5573"/>
    <w:rsid w:val="00EF2C2F"/>
    <w:rsid w:val="00EF6CBF"/>
    <w:rsid w:val="00F02DE0"/>
    <w:rsid w:val="00F03DC0"/>
    <w:rsid w:val="00F07D3A"/>
    <w:rsid w:val="00F21496"/>
    <w:rsid w:val="00F2252D"/>
    <w:rsid w:val="00F2705D"/>
    <w:rsid w:val="00F304D1"/>
    <w:rsid w:val="00F35087"/>
    <w:rsid w:val="00F35D45"/>
    <w:rsid w:val="00F422E1"/>
    <w:rsid w:val="00F425A8"/>
    <w:rsid w:val="00F515DE"/>
    <w:rsid w:val="00F520B2"/>
    <w:rsid w:val="00F578A6"/>
    <w:rsid w:val="00F64CDE"/>
    <w:rsid w:val="00F67436"/>
    <w:rsid w:val="00F717CC"/>
    <w:rsid w:val="00F71F8E"/>
    <w:rsid w:val="00F71FB1"/>
    <w:rsid w:val="00F73EE1"/>
    <w:rsid w:val="00F74762"/>
    <w:rsid w:val="00F7576E"/>
    <w:rsid w:val="00F76C03"/>
    <w:rsid w:val="00F76CAD"/>
    <w:rsid w:val="00F95133"/>
    <w:rsid w:val="00F96D15"/>
    <w:rsid w:val="00FA0995"/>
    <w:rsid w:val="00FA30F4"/>
    <w:rsid w:val="00FB0592"/>
    <w:rsid w:val="00FB139B"/>
    <w:rsid w:val="00FB5BA0"/>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F99EDC"/>
  <w15:docId w15:val="{E1D3481F-C1E8-43EA-AB7D-4DCF945D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163"/>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1E1F4D"/>
    <w:rPr>
      <w:i/>
      <w:iCs/>
    </w:rPr>
  </w:style>
  <w:style w:type="character" w:styleId="CommentReference">
    <w:name w:val="annotation reference"/>
    <w:basedOn w:val="DefaultParagraphFont"/>
    <w:semiHidden/>
    <w:unhideWhenUsed/>
    <w:rsid w:val="007C1C03"/>
    <w:rPr>
      <w:sz w:val="16"/>
      <w:szCs w:val="16"/>
    </w:rPr>
  </w:style>
  <w:style w:type="paragraph" w:styleId="CommentText">
    <w:name w:val="annotation text"/>
    <w:basedOn w:val="Normal"/>
    <w:link w:val="CommentTextChar"/>
    <w:semiHidden/>
    <w:unhideWhenUsed/>
    <w:rsid w:val="007C1C03"/>
    <w:rPr>
      <w:sz w:val="20"/>
      <w:szCs w:val="20"/>
    </w:rPr>
  </w:style>
  <w:style w:type="character" w:customStyle="1" w:styleId="CommentTextChar">
    <w:name w:val="Comment Text Char"/>
    <w:basedOn w:val="DefaultParagraphFont"/>
    <w:link w:val="CommentText"/>
    <w:semiHidden/>
    <w:rsid w:val="007C1C03"/>
  </w:style>
  <w:style w:type="paragraph" w:styleId="CommentSubject">
    <w:name w:val="annotation subject"/>
    <w:basedOn w:val="CommentText"/>
    <w:next w:val="CommentText"/>
    <w:link w:val="CommentSubjectChar"/>
    <w:semiHidden/>
    <w:unhideWhenUsed/>
    <w:rsid w:val="007C1C03"/>
    <w:rPr>
      <w:b/>
      <w:bCs/>
    </w:rPr>
  </w:style>
  <w:style w:type="character" w:customStyle="1" w:styleId="CommentSubjectChar">
    <w:name w:val="Comment Subject Char"/>
    <w:basedOn w:val="CommentTextChar"/>
    <w:link w:val="CommentSubject"/>
    <w:semiHidden/>
    <w:rsid w:val="007C1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462500689">
      <w:bodyDiv w:val="1"/>
      <w:marLeft w:val="0"/>
      <w:marRight w:val="0"/>
      <w:marTop w:val="0"/>
      <w:marBottom w:val="0"/>
      <w:divBdr>
        <w:top w:val="none" w:sz="0" w:space="0" w:color="auto"/>
        <w:left w:val="none" w:sz="0" w:space="0" w:color="auto"/>
        <w:bottom w:val="none" w:sz="0" w:space="0" w:color="auto"/>
        <w:right w:val="none" w:sz="0" w:space="0" w:color="auto"/>
      </w:divBdr>
    </w:div>
    <w:div w:id="901060817">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401169163">
      <w:bodyDiv w:val="1"/>
      <w:marLeft w:val="0"/>
      <w:marRight w:val="0"/>
      <w:marTop w:val="0"/>
      <w:marBottom w:val="0"/>
      <w:divBdr>
        <w:top w:val="none" w:sz="0" w:space="0" w:color="auto"/>
        <w:left w:val="none" w:sz="0" w:space="0" w:color="auto"/>
        <w:bottom w:val="none" w:sz="0" w:space="0" w:color="auto"/>
        <w:right w:val="none" w:sz="0" w:space="0" w:color="auto"/>
      </w:divBdr>
    </w:div>
    <w:div w:id="1433403948">
      <w:bodyDiv w:val="1"/>
      <w:marLeft w:val="0"/>
      <w:marRight w:val="0"/>
      <w:marTop w:val="0"/>
      <w:marBottom w:val="0"/>
      <w:divBdr>
        <w:top w:val="none" w:sz="0" w:space="0" w:color="auto"/>
        <w:left w:val="none" w:sz="0" w:space="0" w:color="auto"/>
        <w:bottom w:val="none" w:sz="0" w:space="0" w:color="auto"/>
        <w:right w:val="none" w:sz="0" w:space="0" w:color="auto"/>
      </w:divBdr>
    </w:div>
    <w:div w:id="1541743723">
      <w:bodyDiv w:val="1"/>
      <w:marLeft w:val="0"/>
      <w:marRight w:val="0"/>
      <w:marTop w:val="0"/>
      <w:marBottom w:val="0"/>
      <w:divBdr>
        <w:top w:val="none" w:sz="0" w:space="0" w:color="auto"/>
        <w:left w:val="none" w:sz="0" w:space="0" w:color="auto"/>
        <w:bottom w:val="none" w:sz="0" w:space="0" w:color="auto"/>
        <w:right w:val="none" w:sz="0" w:space="0" w:color="auto"/>
      </w:divBdr>
    </w:div>
    <w:div w:id="1575817478">
      <w:bodyDiv w:val="1"/>
      <w:marLeft w:val="0"/>
      <w:marRight w:val="0"/>
      <w:marTop w:val="0"/>
      <w:marBottom w:val="0"/>
      <w:divBdr>
        <w:top w:val="none" w:sz="0" w:space="0" w:color="auto"/>
        <w:left w:val="none" w:sz="0" w:space="0" w:color="auto"/>
        <w:bottom w:val="none" w:sz="0" w:space="0" w:color="auto"/>
        <w:right w:val="none" w:sz="0" w:space="0" w:color="auto"/>
      </w:divBdr>
    </w:div>
    <w:div w:id="2124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d.uw.edu/go/syndrome-based/vaginal-discharge/core-concept/a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96D83E-9041-46A9-8C19-145B3AE0D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7B19C6-33CB-4CCE-8F06-C8924A686E6E}">
  <ds:schemaRef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435887-CFB3-47BE-AFE1-0CEBC23E7861}">
  <ds:schemaRefs>
    <ds:schemaRef ds:uri="http://schemas.microsoft.com/sharepoint/v3/contenttype/forms"/>
  </ds:schemaRefs>
</ds:datastoreItem>
</file>

<file path=customXml/itemProps4.xml><?xml version="1.0" encoding="utf-8"?>
<ds:datastoreItem xmlns:ds="http://schemas.openxmlformats.org/officeDocument/2006/customXml" ds:itemID="{4B57455B-CA90-49E2-91E5-E4FCC5B1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3863</Words>
  <Characters>23429</Characters>
  <Application>Microsoft Office Word</Application>
  <DocSecurity>2</DocSecurity>
  <Lines>195</Lines>
  <Paragraphs>54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2019-07-31T19:26:00Z</cp:lastPrinted>
  <dcterms:created xsi:type="dcterms:W3CDTF">2019-08-26T18:23:00Z</dcterms:created>
  <dcterms:modified xsi:type="dcterms:W3CDTF">2019-08-26T18:23:00Z</dcterms:modified>
</cp:coreProperties>
</file>