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1D1D7"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431B54">
        <w:rPr>
          <w:rFonts w:ascii="Times New Roman" w:hAnsi="Times New Roman"/>
          <w:color w:val="00548C"/>
          <w:sz w:val="36"/>
        </w:rPr>
        <w:t>Functional MRI</w:t>
      </w:r>
    </w:p>
    <w:p w14:paraId="77EC0F0D"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77949113" w14:textId="6685BB3A" w:rsidR="00DB2482" w:rsidRPr="003D7BE7" w:rsidRDefault="00D574CA" w:rsidP="00DB2482">
      <w:pPr>
        <w:pStyle w:val="PolicyMainHead"/>
        <w:tabs>
          <w:tab w:val="left" w:pos="360"/>
        </w:tabs>
        <w:spacing w:after="0" w:line="240" w:lineRule="auto"/>
        <w:rPr>
          <w:rFonts w:ascii="Times New Roman" w:hAnsi="Times New Roman"/>
          <w:color w:val="00548C"/>
          <w:sz w:val="24"/>
          <w:szCs w:val="24"/>
        </w:rPr>
        <w:sectPr w:rsidR="00DB2482"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431B54">
        <w:rPr>
          <w:rFonts w:ascii="Times New Roman" w:hAnsi="Times New Roman"/>
          <w:color w:val="00548C"/>
          <w:sz w:val="24"/>
          <w:szCs w:val="24"/>
        </w:rPr>
        <w:t>MP.43</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DB2482">
        <w:rPr>
          <w:rFonts w:ascii="Times New Roman" w:hAnsi="Times New Roman"/>
          <w:color w:val="00548C"/>
          <w:sz w:val="24"/>
          <w:szCs w:val="24"/>
        </w:rPr>
        <w:t xml:space="preserve">     </w:t>
      </w:r>
      <w:hyperlink w:anchor="Coding_Implications" w:history="1">
        <w:r w:rsidR="00DB2482" w:rsidRPr="00875924">
          <w:rPr>
            <w:rStyle w:val="Hyperlink"/>
            <w:rFonts w:ascii="Times New Roman" w:hAnsi="Times New Roman"/>
            <w:sz w:val="24"/>
            <w:szCs w:val="24"/>
          </w:rPr>
          <w:t>Coding Implications</w:t>
        </w:r>
      </w:hyperlink>
      <w:r w:rsidR="00DB2482" w:rsidRPr="003D7BE7">
        <w:rPr>
          <w:rFonts w:ascii="Times New Roman" w:hAnsi="Times New Roman"/>
          <w:color w:val="00548C"/>
          <w:sz w:val="24"/>
          <w:szCs w:val="24"/>
        </w:rPr>
        <w:t xml:space="preserve"> </w:t>
      </w:r>
    </w:p>
    <w:p w14:paraId="198E76BF" w14:textId="5204557D" w:rsidR="00DB2482" w:rsidRDefault="00DB2482" w:rsidP="00DB2482">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5E1D82">
        <w:rPr>
          <w:rFonts w:ascii="Times New Roman" w:hAnsi="Times New Roman"/>
          <w:color w:val="00548C"/>
          <w:sz w:val="24"/>
          <w:szCs w:val="24"/>
        </w:rPr>
        <w:t>09/19</w:t>
      </w:r>
    </w:p>
    <w:p w14:paraId="096E4625" w14:textId="77777777" w:rsidR="00DB2482" w:rsidRDefault="00D5758E" w:rsidP="00DB2482">
      <w:pPr>
        <w:pStyle w:val="PolicyMainHead"/>
        <w:tabs>
          <w:tab w:val="left" w:pos="360"/>
        </w:tabs>
        <w:spacing w:after="0" w:line="240" w:lineRule="auto"/>
        <w:jc w:val="right"/>
        <w:rPr>
          <w:rStyle w:val="Strong"/>
          <w:rFonts w:ascii="Times New Roman" w:hAnsi="Times New Roman"/>
          <w:b w:val="0"/>
          <w:bCs w:val="0"/>
          <w:u w:val="single"/>
        </w:rPr>
        <w:sectPr w:rsidR="00DB2482" w:rsidSect="00875924">
          <w:type w:val="continuous"/>
          <w:pgSz w:w="12240" w:h="15840" w:code="1"/>
          <w:pgMar w:top="1440" w:right="1170" w:bottom="1440" w:left="1440" w:header="576" w:footer="288" w:gutter="0"/>
          <w:cols w:num="2" w:space="720"/>
          <w:titlePg/>
          <w:docGrid w:linePitch="360"/>
        </w:sectPr>
      </w:pPr>
      <w:hyperlink w:anchor="Revision_Log" w:history="1">
        <w:r w:rsidR="00DB2482" w:rsidRPr="003D7BE7">
          <w:rPr>
            <w:rStyle w:val="Hyperlink"/>
            <w:rFonts w:ascii="Times New Roman" w:hAnsi="Times New Roman"/>
            <w:sz w:val="24"/>
            <w:szCs w:val="24"/>
          </w:rPr>
          <w:t>Revision Log</w:t>
        </w:r>
      </w:hyperlink>
      <w:r w:rsidR="00DB2482">
        <w:rPr>
          <w:rFonts w:ascii="Times New Roman" w:hAnsi="Times New Roman"/>
          <w:color w:val="00548C"/>
          <w:sz w:val="24"/>
          <w:szCs w:val="24"/>
        </w:rPr>
        <w:t xml:space="preserve"> </w:t>
      </w:r>
    </w:p>
    <w:p w14:paraId="360A5FC8" w14:textId="77777777" w:rsidR="00B777AF" w:rsidRPr="003D7BE7" w:rsidRDefault="00B777AF"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p>
    <w:p w14:paraId="118959A3" w14:textId="77777777" w:rsidR="00DD6A80" w:rsidRPr="00DD6A80" w:rsidRDefault="00DD6A80"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5D40819A" w14:textId="77777777" w:rsidR="00DD6A80" w:rsidRDefault="00DD6A80" w:rsidP="00D574CA">
      <w:pPr>
        <w:pStyle w:val="NormalWeb"/>
        <w:spacing w:before="0" w:beforeAutospacing="0" w:after="0" w:afterAutospacing="0"/>
        <w:rPr>
          <w:rStyle w:val="Strong"/>
          <w:rFonts w:ascii="Times New Roman" w:hAnsi="Times New Roman" w:cs="Times New Roman"/>
          <w:b w:val="0"/>
          <w:bCs w:val="0"/>
          <w:u w:val="single"/>
        </w:rPr>
      </w:pPr>
    </w:p>
    <w:p w14:paraId="0EB8E46A" w14:textId="77777777" w:rsidR="00583376" w:rsidRPr="006B3E27" w:rsidRDefault="00583376" w:rsidP="006B3E27">
      <w:pPr>
        <w:pStyle w:val="Heading1"/>
        <w:rPr>
          <w:sz w:val="24"/>
        </w:rPr>
      </w:pPr>
      <w:r w:rsidRPr="006B3E27">
        <w:rPr>
          <w:sz w:val="24"/>
        </w:rPr>
        <w:t xml:space="preserve">Description </w:t>
      </w:r>
    </w:p>
    <w:p w14:paraId="661F6676" w14:textId="300E4DC0" w:rsidR="00ED0A0D" w:rsidRPr="00B777AF" w:rsidRDefault="00431B54" w:rsidP="00196935">
      <w:r w:rsidRPr="00F14805">
        <w:t xml:space="preserve">Functional </w:t>
      </w:r>
      <w:r w:rsidR="0067583D">
        <w:t>m</w:t>
      </w:r>
      <w:r>
        <w:t xml:space="preserve">agnetic </w:t>
      </w:r>
      <w:r w:rsidR="0067583D">
        <w:t>r</w:t>
      </w:r>
      <w:r>
        <w:t xml:space="preserve">esonance </w:t>
      </w:r>
      <w:r w:rsidR="0067583D">
        <w:t>i</w:t>
      </w:r>
      <w:r>
        <w:t xml:space="preserve">maging (fMRI) is an imaging procedure </w:t>
      </w:r>
      <w:r w:rsidR="004713C6">
        <w:t>in which</w:t>
      </w:r>
      <w:r>
        <w:t xml:space="preserve"> an MRI is used to localize regions of activity in the brain by measuring blood flow and/or metabolism following task activation.  It localizes areas for critical functions such as thought, speech, movement and sensation.  It is most appropriately used in preoperative planning when the lesion is located near eloquent areas of the brain.</w:t>
      </w:r>
    </w:p>
    <w:p w14:paraId="5DAAA04C" w14:textId="77777777" w:rsidR="00ED0A0D" w:rsidRPr="00B777AF" w:rsidRDefault="00ED0A0D" w:rsidP="00196935"/>
    <w:p w14:paraId="75D45EDE" w14:textId="77777777" w:rsidR="00583376" w:rsidRPr="00B777AF" w:rsidRDefault="00583376">
      <w:pPr>
        <w:pStyle w:val="Heading2"/>
        <w:rPr>
          <w:u w:val="none"/>
        </w:rPr>
      </w:pPr>
      <w:r w:rsidRPr="00B777AF">
        <w:rPr>
          <w:u w:val="none"/>
        </w:rPr>
        <w:t>Policy/Criteria</w:t>
      </w:r>
    </w:p>
    <w:p w14:paraId="6F4873FD" w14:textId="73481980" w:rsidR="00431B54" w:rsidRPr="00431B54" w:rsidRDefault="00F74762" w:rsidP="00431B54">
      <w:pPr>
        <w:pStyle w:val="ListParagraph"/>
        <w:numPr>
          <w:ilvl w:val="0"/>
          <w:numId w:val="10"/>
        </w:numPr>
        <w:rPr>
          <w:bCs/>
        </w:rPr>
      </w:pPr>
      <w:r w:rsidRPr="00431B54">
        <w:rPr>
          <w:bCs/>
          <w:color w:val="000000"/>
        </w:rPr>
        <w:t>It is the policy of</w:t>
      </w:r>
      <w:r w:rsidR="00E97C17" w:rsidRPr="00431B54">
        <w:rPr>
          <w:bCs/>
          <w:color w:val="000000"/>
        </w:rPr>
        <w:t xml:space="preserve"> </w:t>
      </w:r>
      <w:r w:rsidR="00A83658" w:rsidRPr="00431B54">
        <w:rPr>
          <w:bCs/>
          <w:color w:val="000000"/>
        </w:rPr>
        <w:t>h</w:t>
      </w:r>
      <w:r w:rsidR="00E97C17" w:rsidRPr="00431B54">
        <w:rPr>
          <w:bCs/>
          <w:color w:val="000000"/>
        </w:rPr>
        <w:t xml:space="preserve">ealth </w:t>
      </w:r>
      <w:r w:rsidR="00A83658" w:rsidRPr="00431B54">
        <w:rPr>
          <w:bCs/>
          <w:color w:val="000000"/>
        </w:rPr>
        <w:t>p</w:t>
      </w:r>
      <w:r w:rsidR="00E97C17" w:rsidRPr="00431B54">
        <w:rPr>
          <w:bCs/>
          <w:color w:val="000000"/>
        </w:rPr>
        <w:t>lans affiliated with</w:t>
      </w:r>
      <w:r w:rsidRPr="00431B54">
        <w:rPr>
          <w:bCs/>
          <w:color w:val="000000"/>
        </w:rPr>
        <w:t xml:space="preserve"> Centene Corporation</w:t>
      </w:r>
      <w:r w:rsidR="00C75BD4" w:rsidRPr="00431B54">
        <w:rPr>
          <w:bCs/>
          <w:color w:val="000000"/>
          <w:vertAlign w:val="superscript"/>
        </w:rPr>
        <w:t>®</w:t>
      </w:r>
      <w:r w:rsidRPr="00431B54">
        <w:rPr>
          <w:bCs/>
          <w:color w:val="000000"/>
        </w:rPr>
        <w:t xml:space="preserve"> that </w:t>
      </w:r>
      <w:r w:rsidR="00431B54" w:rsidRPr="00431B54">
        <w:rPr>
          <w:bCs/>
          <w:color w:val="000000"/>
        </w:rPr>
        <w:t>fMRI</w:t>
      </w:r>
      <w:r w:rsidRPr="00431B54">
        <w:rPr>
          <w:bCs/>
          <w:color w:val="000000"/>
        </w:rPr>
        <w:t xml:space="preserve"> is </w:t>
      </w:r>
      <w:r w:rsidRPr="00431B54">
        <w:rPr>
          <w:b/>
          <w:bCs/>
          <w:color w:val="000000"/>
        </w:rPr>
        <w:t>medically necessary</w:t>
      </w:r>
      <w:r w:rsidRPr="00431B54">
        <w:rPr>
          <w:bCs/>
          <w:color w:val="000000"/>
        </w:rPr>
        <w:t xml:space="preserve"> </w:t>
      </w:r>
      <w:r w:rsidR="00431B54" w:rsidRPr="00431B54">
        <w:rPr>
          <w:bCs/>
        </w:rPr>
        <w:t>when performed for either A, B, C</w:t>
      </w:r>
      <w:r w:rsidR="00E17C60">
        <w:rPr>
          <w:bCs/>
        </w:rPr>
        <w:t>, or D</w:t>
      </w:r>
      <w:r w:rsidR="00431B54" w:rsidRPr="00431B54">
        <w:rPr>
          <w:bCs/>
        </w:rPr>
        <w:t xml:space="preserve">: </w:t>
      </w:r>
    </w:p>
    <w:p w14:paraId="4996AF2A" w14:textId="54948EC6" w:rsidR="00431B54" w:rsidRDefault="00431B54" w:rsidP="00431B54">
      <w:pPr>
        <w:numPr>
          <w:ilvl w:val="0"/>
          <w:numId w:val="9"/>
        </w:numPr>
        <w:ind w:left="720"/>
        <w:rPr>
          <w:bCs/>
        </w:rPr>
      </w:pPr>
      <w:r>
        <w:rPr>
          <w:bCs/>
        </w:rPr>
        <w:t xml:space="preserve">Assessment of </w:t>
      </w:r>
      <w:r w:rsidR="00E17C60">
        <w:rPr>
          <w:bCs/>
        </w:rPr>
        <w:t xml:space="preserve">intracranial neoplasm and other targeted lesions </w:t>
      </w:r>
      <w:r>
        <w:rPr>
          <w:bCs/>
        </w:rPr>
        <w:t>for one of the following:</w:t>
      </w:r>
    </w:p>
    <w:p w14:paraId="34CABAA5" w14:textId="1DB9F574" w:rsidR="00431B54" w:rsidRDefault="00431B54" w:rsidP="00431B54">
      <w:pPr>
        <w:numPr>
          <w:ilvl w:val="1"/>
          <w:numId w:val="9"/>
        </w:numPr>
        <w:ind w:left="1080"/>
        <w:rPr>
          <w:bCs/>
        </w:rPr>
      </w:pPr>
      <w:r w:rsidRPr="00B66607">
        <w:rPr>
          <w:bCs/>
        </w:rPr>
        <w:t>Pre</w:t>
      </w:r>
      <w:r w:rsidR="00CD24F6">
        <w:rPr>
          <w:bCs/>
        </w:rPr>
        <w:t>-</w:t>
      </w:r>
      <w:r w:rsidRPr="00B66607">
        <w:rPr>
          <w:bCs/>
        </w:rPr>
        <w:t>surgical</w:t>
      </w:r>
      <w:r>
        <w:rPr>
          <w:bCs/>
        </w:rPr>
        <w:t xml:space="preserve"> planning and operative risk</w:t>
      </w:r>
      <w:r w:rsidRPr="00B66607">
        <w:rPr>
          <w:bCs/>
        </w:rPr>
        <w:t xml:space="preserve"> </w:t>
      </w:r>
      <w:r>
        <w:rPr>
          <w:bCs/>
        </w:rPr>
        <w:t>assessment, or</w:t>
      </w:r>
    </w:p>
    <w:p w14:paraId="6067245B" w14:textId="77777777" w:rsidR="00431B54" w:rsidRDefault="00431B54" w:rsidP="00431B54">
      <w:pPr>
        <w:numPr>
          <w:ilvl w:val="1"/>
          <w:numId w:val="9"/>
        </w:numPr>
        <w:ind w:left="1080"/>
        <w:rPr>
          <w:bCs/>
        </w:rPr>
      </w:pPr>
      <w:r>
        <w:rPr>
          <w:bCs/>
        </w:rPr>
        <w:t>Assessment of eloquent cortex (e.g. language, sensory motor, visual centers) in relation to tumor or other focal lesions, or</w:t>
      </w:r>
    </w:p>
    <w:p w14:paraId="6FEA9DC8" w14:textId="77777777" w:rsidR="00431B54" w:rsidRDefault="00431B54" w:rsidP="00431B54">
      <w:pPr>
        <w:numPr>
          <w:ilvl w:val="1"/>
          <w:numId w:val="9"/>
        </w:numPr>
        <w:ind w:left="1080"/>
        <w:rPr>
          <w:bCs/>
        </w:rPr>
      </w:pPr>
      <w:r>
        <w:rPr>
          <w:bCs/>
        </w:rPr>
        <w:t>Surgical planning (biopsy or resection), or</w:t>
      </w:r>
    </w:p>
    <w:p w14:paraId="16B402FC" w14:textId="623619D2" w:rsidR="00431B54" w:rsidRDefault="00431B54" w:rsidP="00431B54">
      <w:pPr>
        <w:numPr>
          <w:ilvl w:val="1"/>
          <w:numId w:val="9"/>
        </w:numPr>
        <w:ind w:left="1080"/>
        <w:rPr>
          <w:bCs/>
        </w:rPr>
      </w:pPr>
      <w:r>
        <w:rPr>
          <w:bCs/>
        </w:rPr>
        <w:t xml:space="preserve">Therapeutic follow-up. </w:t>
      </w:r>
    </w:p>
    <w:p w14:paraId="12E344CF" w14:textId="77777777" w:rsidR="00E17C60" w:rsidRDefault="00431B54" w:rsidP="00431B54">
      <w:pPr>
        <w:numPr>
          <w:ilvl w:val="0"/>
          <w:numId w:val="9"/>
        </w:numPr>
        <w:ind w:left="720"/>
        <w:rPr>
          <w:bCs/>
        </w:rPr>
      </w:pPr>
      <w:r>
        <w:rPr>
          <w:bCs/>
        </w:rPr>
        <w:t>Evaluation of preserved eloquent cortex.</w:t>
      </w:r>
    </w:p>
    <w:p w14:paraId="4F7EABB8" w14:textId="77777777" w:rsidR="00431B54" w:rsidRDefault="00431B54" w:rsidP="00431B54">
      <w:pPr>
        <w:numPr>
          <w:ilvl w:val="0"/>
          <w:numId w:val="9"/>
        </w:numPr>
        <w:ind w:left="720"/>
        <w:rPr>
          <w:bCs/>
        </w:rPr>
      </w:pPr>
      <w:r>
        <w:rPr>
          <w:bCs/>
        </w:rPr>
        <w:t xml:space="preserve">Assessment of eloquent cortex for epilepsy surgery.  </w:t>
      </w:r>
    </w:p>
    <w:p w14:paraId="498E963F" w14:textId="77777777" w:rsidR="00E17C60" w:rsidRDefault="00E17C60" w:rsidP="00431B54">
      <w:pPr>
        <w:numPr>
          <w:ilvl w:val="0"/>
          <w:numId w:val="9"/>
        </w:numPr>
        <w:ind w:left="720"/>
        <w:rPr>
          <w:bCs/>
        </w:rPr>
      </w:pPr>
      <w:r>
        <w:rPr>
          <w:bCs/>
        </w:rPr>
        <w:t>Assessment of radiation treatment planning and post-treatment evaluation of eloquent cortex.</w:t>
      </w:r>
    </w:p>
    <w:p w14:paraId="7E26D802" w14:textId="77777777" w:rsidR="00431B54" w:rsidRDefault="00431B54" w:rsidP="00431B54">
      <w:pPr>
        <w:rPr>
          <w:bCs/>
        </w:rPr>
      </w:pPr>
    </w:p>
    <w:p w14:paraId="3339BEDC" w14:textId="68772B60" w:rsidR="003840CC" w:rsidRPr="00AB2761" w:rsidRDefault="0067583D" w:rsidP="00212B79">
      <w:pPr>
        <w:pStyle w:val="ListParagraph"/>
        <w:numPr>
          <w:ilvl w:val="0"/>
          <w:numId w:val="10"/>
        </w:numPr>
        <w:rPr>
          <w:bCs/>
          <w:color w:val="000000"/>
        </w:rPr>
      </w:pPr>
      <w:r w:rsidRPr="00431B54">
        <w:rPr>
          <w:bCs/>
          <w:color w:val="000000"/>
        </w:rPr>
        <w:t>It is the policy of health plans affiliated with Centene Corporation</w:t>
      </w:r>
      <w:r>
        <w:rPr>
          <w:bCs/>
        </w:rPr>
        <w:t xml:space="preserve"> that </w:t>
      </w:r>
      <w:r w:rsidR="00431B54">
        <w:rPr>
          <w:bCs/>
        </w:rPr>
        <w:t xml:space="preserve">fMRI </w:t>
      </w:r>
      <w:r w:rsidR="00431B54" w:rsidRPr="00212B79">
        <w:rPr>
          <w:bCs/>
        </w:rPr>
        <w:t xml:space="preserve">for any indication not listed above is considered </w:t>
      </w:r>
      <w:r w:rsidR="00431B54" w:rsidRPr="00AB2761">
        <w:rPr>
          <w:b/>
          <w:bCs/>
        </w:rPr>
        <w:t>not medically necessary</w:t>
      </w:r>
      <w:r w:rsidR="00431B54" w:rsidRPr="00AB2761">
        <w:rPr>
          <w:bCs/>
        </w:rPr>
        <w:t>.</w:t>
      </w:r>
    </w:p>
    <w:p w14:paraId="495BDAC2" w14:textId="77777777" w:rsidR="00FB139B" w:rsidRDefault="00FB139B" w:rsidP="003840CC">
      <w:pPr>
        <w:rPr>
          <w:bCs/>
          <w:color w:val="000000"/>
        </w:rPr>
      </w:pPr>
    </w:p>
    <w:p w14:paraId="63E42056" w14:textId="77777777" w:rsidR="00FB0592" w:rsidRDefault="00FB0592" w:rsidP="00FB0592">
      <w:pPr>
        <w:pStyle w:val="Heading2"/>
        <w:rPr>
          <w:u w:val="none"/>
        </w:rPr>
      </w:pPr>
      <w:r w:rsidRPr="00B777AF">
        <w:rPr>
          <w:u w:val="none"/>
        </w:rPr>
        <w:t>Background</w:t>
      </w:r>
    </w:p>
    <w:p w14:paraId="41B9779B" w14:textId="77777777" w:rsidR="00431B54" w:rsidRDefault="00431B54" w:rsidP="00431B54">
      <w:pPr>
        <w:pStyle w:val="Heading2"/>
      </w:pPr>
      <w:r>
        <w:rPr>
          <w:b w:val="0"/>
          <w:u w:val="none"/>
        </w:rPr>
        <w:t xml:space="preserve">FMRI using blood oxygenation level dependent imaging (BOLD) technique is a proven and useful tool for the evaluation of eloquent cortex in relation to a focal brain lesion, such as a neoplasm or vascular malformation.  </w:t>
      </w:r>
    </w:p>
    <w:p w14:paraId="032E5286" w14:textId="77777777" w:rsidR="00431B54" w:rsidRDefault="00431B54" w:rsidP="00431B54"/>
    <w:p w14:paraId="232090A9" w14:textId="6F2CB619" w:rsidR="00431B54" w:rsidRDefault="00431B54" w:rsidP="00431B54">
      <w:r>
        <w:t>There are several methods used to identify eloquent areas of the brain including the</w:t>
      </w:r>
      <w:r w:rsidR="006E6EE8" w:rsidRPr="006E6EE8">
        <w:t xml:space="preserve"> intracarotid amobarbital procedure</w:t>
      </w:r>
      <w:r w:rsidR="00247A1D">
        <w:t xml:space="preserve"> (IAP)</w:t>
      </w:r>
      <w:r w:rsidR="006E6EE8">
        <w:t>, known as the</w:t>
      </w:r>
      <w:r>
        <w:t xml:space="preserve"> Wada test</w:t>
      </w:r>
      <w:r w:rsidR="00AB2761">
        <w:t>,</w:t>
      </w:r>
      <w:r>
        <w:t xml:space="preserve"> and electrocortical stimulation mapping (ESM).  The Wada test consists of a cerebral angiogram followed by the injection of a drug to evaluate which side of the brain is responsible for speech and memory.  ESM involves the surgical placement of electrodes on the brain to identify and mark specific areas of importance.  Both tests are invasive, time consuming and involve multiple resources.  </w:t>
      </w:r>
    </w:p>
    <w:p w14:paraId="335A5CCB" w14:textId="77777777" w:rsidR="00431B54" w:rsidRDefault="00431B54" w:rsidP="00431B54"/>
    <w:p w14:paraId="2CA6A779" w14:textId="77777777" w:rsidR="00431B54" w:rsidRDefault="00431B54" w:rsidP="00431B54">
      <w:r>
        <w:t xml:space="preserve">fMRI has been proposed as an alternative to these methods.  During fMRI, the patient is asked to conduct specific language, memory or motor activities while sequential MRI images are collected.  The activities cause an increase in blood flow to the areas of the brain being used, allowing for their identification and location.  </w:t>
      </w:r>
    </w:p>
    <w:p w14:paraId="10738AA0" w14:textId="77777777" w:rsidR="00431B54" w:rsidRDefault="00431B54" w:rsidP="00431B54"/>
    <w:p w14:paraId="3B99E269" w14:textId="77777777" w:rsidR="00431B54" w:rsidRDefault="00431B54" w:rsidP="00431B54">
      <w:r>
        <w:t xml:space="preserve">Evidence in published, peer-reviewed scientific literature indicates a good correlation between fMRI pre-surgical brain mapping and invasive pre-surgical brain mapping.  Current literature supports fMRI as a valuable adjunct tool when used in conjunction with other brain mapping techniques because the fMRI provides information that aids the surgical team in pre-surgical planning.  </w:t>
      </w:r>
    </w:p>
    <w:p w14:paraId="198F9829" w14:textId="77777777" w:rsidR="00431B54" w:rsidRDefault="00431B54" w:rsidP="00431B54"/>
    <w:p w14:paraId="34CD1158" w14:textId="77777777" w:rsidR="00431B54" w:rsidRDefault="00431B54" w:rsidP="00431B54">
      <w:r>
        <w:t xml:space="preserve">Woermann et al (2003) compared the determination of language dominance using fMRI with results of the Wada test in 100 patients with different localization-related epilepsies.  The concordance between both tests was 91% with an overall rate of false categorization by fMRI of 9%.  It was concluded that language fMRI might reduce the necessity of the Wada test for language lateralization, especially in temporal lobe epilepsy.  </w:t>
      </w:r>
    </w:p>
    <w:p w14:paraId="3A1F3C81" w14:textId="77777777" w:rsidR="00431B54" w:rsidRDefault="00431B54" w:rsidP="00431B54"/>
    <w:p w14:paraId="5B60EB0A" w14:textId="2859D2FB" w:rsidR="00431B54" w:rsidRDefault="00431B54" w:rsidP="00431B54">
      <w:r>
        <w:t xml:space="preserve">Another study by </w:t>
      </w:r>
      <w:smartTag w:uri="urn:schemas-microsoft-com:office:smarttags" w:element="City">
        <w:smartTag w:uri="urn:schemas-microsoft-com:office:smarttags" w:element="place">
          <w:r>
            <w:t>Medina</w:t>
          </w:r>
        </w:smartTag>
      </w:smartTag>
      <w:r>
        <w:t xml:space="preserve"> and colleagues (2005) looked at the effect of fMRI on diagnostic work-up and treatment planning in 60 patients with seizure disorders who were candidates for surgical treatment.  The study revealed change in anatomic location or lateralization of language-receptive and language-expressive areas (28% and 21% of patients respectively).  Statistically significant increases in confidence levels</w:t>
      </w:r>
      <w:r w:rsidR="00AB2761">
        <w:t xml:space="preserve"> were found</w:t>
      </w:r>
      <w:r>
        <w:t xml:space="preserve"> after fMRI </w:t>
      </w:r>
      <w:r w:rsidR="00AB2761">
        <w:t>for</w:t>
      </w:r>
      <w:r>
        <w:t xml:space="preserve"> motor and visual cortical function evaluation.  In 63% of patients, fMRI results helped to avoid further studies, including Wada test.  In 52% and 42% of patients, intraoperative mapping and surgical plans, respectively, were altered because of fMRI results.  They concluded fMRI results influenced diagnostic and therapeutic decision making of the seizure team; results indicated language dominance change, confidence level in identification of critical brain function areas increased, patient and family counseling were altered, and intraoperative mapping and surgical approach were altered.   </w:t>
      </w:r>
    </w:p>
    <w:p w14:paraId="3025D818" w14:textId="77777777" w:rsidR="00431B54" w:rsidRDefault="00431B54" w:rsidP="00431B54"/>
    <w:p w14:paraId="36DFD50E" w14:textId="77777777" w:rsidR="002E48E7" w:rsidRDefault="00431B54" w:rsidP="00FB0592">
      <w:r>
        <w:t xml:space="preserve">Patrella et al (2006) evaluated the effect of preoperative fMRI localization of language and motor areas on therapeutic decision making in 39 patients with potentially </w:t>
      </w:r>
      <w:r w:rsidR="00507F30">
        <w:t xml:space="preserve">resectable </w:t>
      </w:r>
      <w:r>
        <w:t>brain tumors.  Results showed treatment plans before and after fMRI differed in 19 patients (P &lt;.05), with a more aggressive approach recommended after imaging in 18 patients.  fMRI resulted in reduced surgical time (estimated 15-60 minutes) in 22 patients who underwent surgery, a more aggressive resection in six, and a smaller craniotomy in two.  They concluded fMRI enables the selection of a more aggressive therapeutic approach than might otherwise be considered because of functional risk.  In certain patients, surgical time may be shortened, the extent of resection increased, and craniotomy size decreased.</w:t>
      </w:r>
    </w:p>
    <w:p w14:paraId="36FB7C69" w14:textId="77777777" w:rsidR="003807FD" w:rsidRDefault="003807FD" w:rsidP="00FB0592"/>
    <w:p w14:paraId="68E08B0E" w14:textId="4299677A" w:rsidR="003807FD" w:rsidRPr="00AB4EA7" w:rsidRDefault="003807FD" w:rsidP="00FB0592">
      <w:pPr>
        <w:rPr>
          <w:i/>
        </w:rPr>
      </w:pPr>
      <w:r w:rsidRPr="00AB4EA7">
        <w:rPr>
          <w:i/>
        </w:rPr>
        <w:t>American Academy of Neurology</w:t>
      </w:r>
    </w:p>
    <w:p w14:paraId="2F59E344" w14:textId="60FFF36A" w:rsidR="00016427" w:rsidRDefault="00016427" w:rsidP="00AB2761">
      <w:pPr>
        <w:pStyle w:val="ListParagraph"/>
        <w:numPr>
          <w:ilvl w:val="0"/>
          <w:numId w:val="12"/>
        </w:numPr>
      </w:pPr>
      <w:r>
        <w:t>The use of fMRI may be considered an option for lateralizing language functions in place of intracarotid amobarbital procedure (IAP) in patients with medial temporal lobe epilepsy (MTLE</w:t>
      </w:r>
      <w:r w:rsidR="00575067">
        <w:t xml:space="preserve">), </w:t>
      </w:r>
      <w:r>
        <w:t xml:space="preserve">temporal epilepsy in general or extratemporal epilepsy (Level C). For patients with temporal neocortical epilepsy or temporal tumors, the evidence is insufficient (Level U). </w:t>
      </w:r>
    </w:p>
    <w:p w14:paraId="562A0897" w14:textId="77777777" w:rsidR="00575067" w:rsidRDefault="00016427" w:rsidP="00AB2761">
      <w:pPr>
        <w:pStyle w:val="ListParagraph"/>
        <w:numPr>
          <w:ilvl w:val="0"/>
          <w:numId w:val="12"/>
        </w:numPr>
      </w:pPr>
      <w:r>
        <w:t xml:space="preserve">fMRI may be considered to predict postsurgical language deficits after anterior temporal lobe resection (Level C). </w:t>
      </w:r>
    </w:p>
    <w:p w14:paraId="1F94BD31" w14:textId="77777777" w:rsidR="00575067" w:rsidRDefault="00016427" w:rsidP="00AB2761">
      <w:pPr>
        <w:pStyle w:val="ListParagraph"/>
        <w:numPr>
          <w:ilvl w:val="0"/>
          <w:numId w:val="12"/>
        </w:numPr>
      </w:pPr>
      <w:r>
        <w:t>The use of fMRI may be considered for lateralizing memory functions in place of IAP in patients with MTLE (Level C) but is of unclear utility in other</w:t>
      </w:r>
      <w:r w:rsidR="00575067">
        <w:t xml:space="preserve"> </w:t>
      </w:r>
      <w:r>
        <w:t>epilepsy types (Level U).</w:t>
      </w:r>
    </w:p>
    <w:p w14:paraId="200F1680" w14:textId="77777777" w:rsidR="00575067" w:rsidRDefault="00016427" w:rsidP="00AB2761">
      <w:pPr>
        <w:pStyle w:val="ListParagraph"/>
        <w:numPr>
          <w:ilvl w:val="0"/>
          <w:numId w:val="12"/>
        </w:numPr>
      </w:pPr>
      <w:r>
        <w:lastRenderedPageBreak/>
        <w:t>fMRI of verbal memory or language encoding should be considered for</w:t>
      </w:r>
      <w:r w:rsidR="00575067">
        <w:t xml:space="preserve"> </w:t>
      </w:r>
      <w:r>
        <w:t xml:space="preserve">predicting verbal memory outcome (Level B). </w:t>
      </w:r>
    </w:p>
    <w:p w14:paraId="6848A566" w14:textId="77777777" w:rsidR="00575067" w:rsidRDefault="00016427" w:rsidP="00AB2761">
      <w:pPr>
        <w:pStyle w:val="ListParagraph"/>
        <w:numPr>
          <w:ilvl w:val="0"/>
          <w:numId w:val="12"/>
        </w:numPr>
      </w:pPr>
      <w:r>
        <w:t>fMRI using nonverbal memory encoding may be considered</w:t>
      </w:r>
      <w:r w:rsidR="00575067">
        <w:t xml:space="preserve"> </w:t>
      </w:r>
      <w:r>
        <w:t xml:space="preserve">for predicting visuospatial memory outcomes (Level C). </w:t>
      </w:r>
    </w:p>
    <w:p w14:paraId="5A108A4D" w14:textId="31288F35" w:rsidR="00016427" w:rsidRDefault="00016427" w:rsidP="00AB2761">
      <w:pPr>
        <w:pStyle w:val="ListParagraph"/>
        <w:numPr>
          <w:ilvl w:val="0"/>
          <w:numId w:val="12"/>
        </w:numPr>
      </w:pPr>
      <w:r>
        <w:t>Presurgical fMRI could be an adequate</w:t>
      </w:r>
      <w:r w:rsidR="00575067">
        <w:t xml:space="preserve"> </w:t>
      </w:r>
      <w:r>
        <w:t>alternative to IAP memory testing for predicting verbal memory outcome (Level C).</w:t>
      </w:r>
    </w:p>
    <w:p w14:paraId="7D2CCB26" w14:textId="0C7349C0" w:rsidR="00410977" w:rsidRDefault="00410977" w:rsidP="00AB2761">
      <w:pPr>
        <w:pStyle w:val="ListParagraph"/>
        <w:numPr>
          <w:ilvl w:val="0"/>
          <w:numId w:val="12"/>
        </w:numPr>
      </w:pPr>
      <w:r>
        <w:t xml:space="preserve">Clinicians should carefully </w:t>
      </w:r>
      <w:r w:rsidRPr="00410977">
        <w:t>advise patients of the risks and benefits of fMRI vs IAP during discussions concerning choice of specific modality in each case</w:t>
      </w:r>
    </w:p>
    <w:p w14:paraId="210F3BD5" w14:textId="77777777" w:rsidR="00AB2761" w:rsidRDefault="00AB2761" w:rsidP="00170B14">
      <w:pPr>
        <w:rPr>
          <w:b/>
        </w:rPr>
      </w:pPr>
      <w:bookmarkStart w:id="0" w:name="Coding_Implications"/>
    </w:p>
    <w:p w14:paraId="668F9387" w14:textId="4EE778B9" w:rsidR="00170B14" w:rsidRPr="00B777AF" w:rsidRDefault="00170B14" w:rsidP="00170B14">
      <w:pPr>
        <w:rPr>
          <w:b/>
        </w:rPr>
      </w:pPr>
      <w:r w:rsidRPr="00B777AF">
        <w:rPr>
          <w:b/>
        </w:rPr>
        <w:t>Coding Implications</w:t>
      </w:r>
    </w:p>
    <w:bookmarkEnd w:id="0"/>
    <w:p w14:paraId="2D1B9E33" w14:textId="2BD1E486" w:rsidR="00DD6A80" w:rsidRDefault="00DD6A80" w:rsidP="00DD6A8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5E1D82">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1790E38C" w14:textId="77777777" w:rsidR="00AF5490" w:rsidRPr="00A85489" w:rsidRDefault="00AF5490" w:rsidP="00AF5490"/>
    <w:tbl>
      <w:tblPr>
        <w:tblStyle w:val="TableGrid"/>
        <w:tblW w:w="5000" w:type="pct"/>
        <w:tblLook w:val="0020" w:firstRow="1" w:lastRow="0" w:firstColumn="0" w:lastColumn="0" w:noHBand="0" w:noVBand="0"/>
      </w:tblPr>
      <w:tblGrid>
        <w:gridCol w:w="1099"/>
        <w:gridCol w:w="8251"/>
      </w:tblGrid>
      <w:tr w:rsidR="00B777AF" w:rsidRPr="00B777AF" w14:paraId="7B9DAF34" w14:textId="77777777" w:rsidTr="00DB2482">
        <w:trPr>
          <w:tblHeader/>
        </w:trPr>
        <w:tc>
          <w:tcPr>
            <w:tcW w:w="1113" w:type="dxa"/>
            <w:shd w:val="clear" w:color="auto" w:fill="00548C"/>
          </w:tcPr>
          <w:p w14:paraId="2C761D3F" w14:textId="77777777" w:rsidR="00D36448" w:rsidRPr="00B777AF" w:rsidRDefault="00D36448" w:rsidP="00C10DF0">
            <w:pPr>
              <w:rPr>
                <w:b/>
                <w:bCs/>
                <w:color w:val="FFFFFF" w:themeColor="background1"/>
              </w:rPr>
            </w:pPr>
            <w:r w:rsidRPr="00B777AF">
              <w:rPr>
                <w:b/>
                <w:color w:val="FFFFFF" w:themeColor="background1"/>
              </w:rPr>
              <w:t>CPT</w:t>
            </w:r>
            <w:r w:rsidR="00AF5490" w:rsidRPr="00B777AF">
              <w:rPr>
                <w:b/>
                <w:color w:val="FFFFFF" w:themeColor="background1"/>
                <w:vertAlign w:val="superscript"/>
              </w:rPr>
              <w:t>®*</w:t>
            </w:r>
            <w:r w:rsidRPr="00B777AF">
              <w:rPr>
                <w:b/>
                <w:color w:val="FFFFFF" w:themeColor="background1"/>
              </w:rPr>
              <w:t xml:space="preserve"> Codes </w:t>
            </w:r>
          </w:p>
        </w:tc>
        <w:tc>
          <w:tcPr>
            <w:tcW w:w="8692" w:type="dxa"/>
            <w:shd w:val="clear" w:color="auto" w:fill="00548C"/>
          </w:tcPr>
          <w:p w14:paraId="4A4CB3E2" w14:textId="77777777" w:rsidR="00D36448" w:rsidRPr="00B777AF" w:rsidRDefault="00D36448" w:rsidP="00C10DF0">
            <w:pPr>
              <w:rPr>
                <w:b/>
                <w:bCs/>
                <w:color w:val="FFFFFF" w:themeColor="background1"/>
              </w:rPr>
            </w:pPr>
            <w:r w:rsidRPr="00B777AF">
              <w:rPr>
                <w:b/>
                <w:color w:val="FFFFFF" w:themeColor="background1"/>
              </w:rPr>
              <w:t>Description</w:t>
            </w:r>
          </w:p>
        </w:tc>
      </w:tr>
      <w:tr w:rsidR="00431B54" w:rsidRPr="005144C0" w14:paraId="757773CC" w14:textId="77777777" w:rsidTr="00DB2482">
        <w:tc>
          <w:tcPr>
            <w:tcW w:w="1113" w:type="dxa"/>
          </w:tcPr>
          <w:p w14:paraId="6B575061" w14:textId="77777777" w:rsidR="00431B54" w:rsidRDefault="00431B54" w:rsidP="00222901">
            <w:pPr>
              <w:tabs>
                <w:tab w:val="num" w:pos="720"/>
              </w:tabs>
            </w:pPr>
            <w:r>
              <w:t>70554</w:t>
            </w:r>
          </w:p>
        </w:tc>
        <w:tc>
          <w:tcPr>
            <w:tcW w:w="8692" w:type="dxa"/>
          </w:tcPr>
          <w:p w14:paraId="0FB3880F" w14:textId="77777777" w:rsidR="00431B54" w:rsidRDefault="00431B54" w:rsidP="00222901">
            <w:r>
              <w:t>MRI, brain, functional MRI; including test selection and administration of repetitive body part movement and/or visual stimulation; not requiring physician or psychologist administration</w:t>
            </w:r>
          </w:p>
        </w:tc>
      </w:tr>
      <w:tr w:rsidR="00431B54" w:rsidRPr="005144C0" w14:paraId="34DFED4B" w14:textId="77777777" w:rsidTr="00DB2482">
        <w:tc>
          <w:tcPr>
            <w:tcW w:w="1113" w:type="dxa"/>
          </w:tcPr>
          <w:p w14:paraId="02A25CD6" w14:textId="77777777" w:rsidR="00431B54" w:rsidRDefault="00431B54" w:rsidP="00222901">
            <w:pPr>
              <w:tabs>
                <w:tab w:val="num" w:pos="720"/>
              </w:tabs>
            </w:pPr>
            <w:r>
              <w:t>70555</w:t>
            </w:r>
          </w:p>
        </w:tc>
        <w:tc>
          <w:tcPr>
            <w:tcW w:w="8692" w:type="dxa"/>
          </w:tcPr>
          <w:p w14:paraId="29D03DCF" w14:textId="77777777" w:rsidR="00431B54" w:rsidRDefault="00431B54" w:rsidP="00222901">
            <w:pPr>
              <w:ind w:left="252"/>
            </w:pPr>
            <w:r>
              <w:t>requiring physician or psychologist administration of entire neurofunctional testing</w:t>
            </w:r>
          </w:p>
        </w:tc>
      </w:tr>
    </w:tbl>
    <w:p w14:paraId="2C610C0F" w14:textId="77777777" w:rsidR="00AF5490" w:rsidRDefault="00AF5490" w:rsidP="00AF5490"/>
    <w:tbl>
      <w:tblPr>
        <w:tblStyle w:val="TableGrid"/>
        <w:tblW w:w="5000" w:type="pct"/>
        <w:tblLook w:val="0020" w:firstRow="1" w:lastRow="0" w:firstColumn="0" w:lastColumn="0" w:noHBand="0" w:noVBand="0"/>
      </w:tblPr>
      <w:tblGrid>
        <w:gridCol w:w="1885"/>
        <w:gridCol w:w="7465"/>
      </w:tblGrid>
      <w:tr w:rsidR="00F95B01" w:rsidRPr="00B777AF" w14:paraId="112201C0" w14:textId="77777777" w:rsidTr="009C55E9">
        <w:trPr>
          <w:tblHeader/>
        </w:trPr>
        <w:tc>
          <w:tcPr>
            <w:tcW w:w="1885" w:type="dxa"/>
            <w:shd w:val="clear" w:color="auto" w:fill="00548C"/>
          </w:tcPr>
          <w:p w14:paraId="747F7047" w14:textId="77777777" w:rsidR="00F95B01" w:rsidRPr="00B777AF" w:rsidRDefault="00F95B01" w:rsidP="00F1640B">
            <w:pPr>
              <w:rPr>
                <w:b/>
                <w:bCs/>
                <w:color w:val="FFFFFF" w:themeColor="background1"/>
              </w:rPr>
            </w:pPr>
            <w:r>
              <w:rPr>
                <w:b/>
                <w:color w:val="FFFFFF" w:themeColor="background1"/>
              </w:rPr>
              <w:t>HCPCS</w:t>
            </w:r>
            <w:r w:rsidRPr="00B777AF">
              <w:rPr>
                <w:b/>
                <w:color w:val="FFFFFF" w:themeColor="background1"/>
              </w:rPr>
              <w:t xml:space="preserve"> Codes </w:t>
            </w:r>
          </w:p>
        </w:tc>
        <w:tc>
          <w:tcPr>
            <w:tcW w:w="7465" w:type="dxa"/>
            <w:shd w:val="clear" w:color="auto" w:fill="00548C"/>
          </w:tcPr>
          <w:p w14:paraId="5803495B" w14:textId="77777777" w:rsidR="00F95B01" w:rsidRPr="00B777AF" w:rsidRDefault="00F95B01" w:rsidP="00F1640B">
            <w:pPr>
              <w:rPr>
                <w:b/>
                <w:bCs/>
                <w:color w:val="FFFFFF" w:themeColor="background1"/>
              </w:rPr>
            </w:pPr>
            <w:r w:rsidRPr="00B777AF">
              <w:rPr>
                <w:b/>
                <w:color w:val="FFFFFF" w:themeColor="background1"/>
              </w:rPr>
              <w:t>Description</w:t>
            </w:r>
          </w:p>
        </w:tc>
      </w:tr>
      <w:tr w:rsidR="00F95B01" w:rsidRPr="005144C0" w14:paraId="0F4C54B1" w14:textId="77777777" w:rsidTr="009C55E9">
        <w:tc>
          <w:tcPr>
            <w:tcW w:w="1885" w:type="dxa"/>
          </w:tcPr>
          <w:p w14:paraId="60A9E67C" w14:textId="768D8BF3" w:rsidR="00F95B01" w:rsidRPr="005144C0" w:rsidRDefault="00E9133F" w:rsidP="00F1640B">
            <w:pPr>
              <w:rPr>
                <w:bCs/>
              </w:rPr>
            </w:pPr>
            <w:r>
              <w:rPr>
                <w:bCs/>
              </w:rPr>
              <w:t>N/A</w:t>
            </w:r>
          </w:p>
        </w:tc>
        <w:tc>
          <w:tcPr>
            <w:tcW w:w="7465" w:type="dxa"/>
          </w:tcPr>
          <w:p w14:paraId="70FC04AD" w14:textId="77777777" w:rsidR="00F95B01" w:rsidRPr="005144C0" w:rsidRDefault="00F95B01" w:rsidP="00F1640B">
            <w:pPr>
              <w:rPr>
                <w:bCs/>
              </w:rPr>
            </w:pPr>
          </w:p>
        </w:tc>
      </w:tr>
    </w:tbl>
    <w:p w14:paraId="3908215E" w14:textId="77777777" w:rsidR="00F95B01" w:rsidRDefault="00F95B01" w:rsidP="00AF5490"/>
    <w:p w14:paraId="67DD41C3" w14:textId="77777777" w:rsidR="00F95B01" w:rsidRDefault="00F95B01" w:rsidP="00F95B01">
      <w:pPr>
        <w:rPr>
          <w:b/>
        </w:rPr>
      </w:pPr>
      <w:r w:rsidRPr="00350F22">
        <w:rPr>
          <w:b/>
        </w:rPr>
        <w:t>ICD-10-CM Diagnosis Codes that Support Coverage Criteria</w:t>
      </w:r>
    </w:p>
    <w:p w14:paraId="2E30BC31" w14:textId="77777777" w:rsidR="00F95B01" w:rsidRPr="004C7108" w:rsidRDefault="00F95B01" w:rsidP="00F95B01">
      <w:r w:rsidRPr="004C7108">
        <w:t>+ Indicates a code requiring an additional character</w:t>
      </w:r>
    </w:p>
    <w:tbl>
      <w:tblPr>
        <w:tblStyle w:val="TableGrid"/>
        <w:tblW w:w="5000" w:type="pct"/>
        <w:tblLook w:val="0020" w:firstRow="1" w:lastRow="0" w:firstColumn="0" w:lastColumn="0" w:noHBand="0" w:noVBand="0"/>
      </w:tblPr>
      <w:tblGrid>
        <w:gridCol w:w="2155"/>
        <w:gridCol w:w="7195"/>
      </w:tblGrid>
      <w:tr w:rsidR="00F95B01" w:rsidRPr="00B777AF" w14:paraId="6192EBDC" w14:textId="77777777" w:rsidTr="009C55E9">
        <w:trPr>
          <w:tblHeader/>
        </w:trPr>
        <w:tc>
          <w:tcPr>
            <w:tcW w:w="2155" w:type="dxa"/>
            <w:shd w:val="clear" w:color="auto" w:fill="00548C"/>
          </w:tcPr>
          <w:p w14:paraId="1EB0824A" w14:textId="77777777" w:rsidR="00F95B01" w:rsidRPr="00350F22" w:rsidRDefault="00F95B01" w:rsidP="00F1640B">
            <w:pPr>
              <w:rPr>
                <w:b/>
                <w:bCs/>
                <w:color w:val="FFFFFF"/>
              </w:rPr>
            </w:pPr>
            <w:r>
              <w:rPr>
                <w:b/>
                <w:color w:val="FFFFFF"/>
              </w:rPr>
              <w:t>ICD-10-CM Code</w:t>
            </w:r>
          </w:p>
        </w:tc>
        <w:tc>
          <w:tcPr>
            <w:tcW w:w="7195" w:type="dxa"/>
            <w:shd w:val="clear" w:color="auto" w:fill="00548C"/>
          </w:tcPr>
          <w:p w14:paraId="7483063B" w14:textId="77777777" w:rsidR="00F95B01" w:rsidRPr="00350F22" w:rsidRDefault="00F95B01" w:rsidP="00F1640B">
            <w:pPr>
              <w:rPr>
                <w:b/>
                <w:bCs/>
                <w:color w:val="FFFFFF"/>
              </w:rPr>
            </w:pPr>
            <w:r w:rsidRPr="00350F22">
              <w:rPr>
                <w:b/>
                <w:color w:val="FFFFFF"/>
              </w:rPr>
              <w:t>Description</w:t>
            </w:r>
          </w:p>
        </w:tc>
      </w:tr>
      <w:tr w:rsidR="00F95B01" w:rsidRPr="005144C0" w14:paraId="638753EC" w14:textId="77777777" w:rsidTr="009C55E9">
        <w:tc>
          <w:tcPr>
            <w:tcW w:w="2155" w:type="dxa"/>
          </w:tcPr>
          <w:p w14:paraId="5C6F3C73" w14:textId="1D0B45D3" w:rsidR="00F95B01" w:rsidRPr="005144C0" w:rsidRDefault="001C22E5" w:rsidP="00F1640B">
            <w:pPr>
              <w:rPr>
                <w:bCs/>
              </w:rPr>
            </w:pPr>
            <w:r>
              <w:rPr>
                <w:bCs/>
              </w:rPr>
              <w:t>C71.0-C71.9</w:t>
            </w:r>
          </w:p>
        </w:tc>
        <w:tc>
          <w:tcPr>
            <w:tcW w:w="7195" w:type="dxa"/>
          </w:tcPr>
          <w:p w14:paraId="326EE657" w14:textId="4BD6A649" w:rsidR="00F95B01" w:rsidRPr="005144C0" w:rsidRDefault="001C22E5" w:rsidP="00F1640B">
            <w:pPr>
              <w:rPr>
                <w:bCs/>
              </w:rPr>
            </w:pPr>
            <w:r>
              <w:rPr>
                <w:bCs/>
              </w:rPr>
              <w:t>Malignant neoplasm of brain</w:t>
            </w:r>
          </w:p>
        </w:tc>
      </w:tr>
      <w:tr w:rsidR="001C22E5" w:rsidRPr="005144C0" w14:paraId="7A996B24" w14:textId="77777777" w:rsidTr="009C55E9">
        <w:tc>
          <w:tcPr>
            <w:tcW w:w="2155" w:type="dxa"/>
          </w:tcPr>
          <w:p w14:paraId="5F75C8C9" w14:textId="427E4846" w:rsidR="001C22E5" w:rsidRDefault="001C22E5" w:rsidP="002C21A4">
            <w:pPr>
              <w:rPr>
                <w:bCs/>
              </w:rPr>
            </w:pPr>
            <w:r>
              <w:rPr>
                <w:bCs/>
              </w:rPr>
              <w:t>C79.31</w:t>
            </w:r>
          </w:p>
        </w:tc>
        <w:tc>
          <w:tcPr>
            <w:tcW w:w="7195" w:type="dxa"/>
          </w:tcPr>
          <w:p w14:paraId="44A49FF6" w14:textId="2A1E1BB7" w:rsidR="001C22E5" w:rsidRDefault="002C21A4" w:rsidP="00F1640B">
            <w:pPr>
              <w:rPr>
                <w:bCs/>
              </w:rPr>
            </w:pPr>
            <w:r w:rsidRPr="002C21A4">
              <w:rPr>
                <w:bCs/>
              </w:rPr>
              <w:t>Secondary malignant neoplasm of brain</w:t>
            </w:r>
          </w:p>
        </w:tc>
      </w:tr>
      <w:tr w:rsidR="002C21A4" w:rsidRPr="005144C0" w14:paraId="455F667D" w14:textId="77777777" w:rsidTr="009C55E9">
        <w:tc>
          <w:tcPr>
            <w:tcW w:w="2155" w:type="dxa"/>
          </w:tcPr>
          <w:p w14:paraId="360A76A7" w14:textId="28B6FF55" w:rsidR="002C21A4" w:rsidRDefault="002C21A4" w:rsidP="002C21A4">
            <w:pPr>
              <w:rPr>
                <w:bCs/>
              </w:rPr>
            </w:pPr>
            <w:r>
              <w:rPr>
                <w:bCs/>
              </w:rPr>
              <w:t>C79.32</w:t>
            </w:r>
          </w:p>
        </w:tc>
        <w:tc>
          <w:tcPr>
            <w:tcW w:w="7195" w:type="dxa"/>
          </w:tcPr>
          <w:p w14:paraId="4A76A9DD" w14:textId="4070E963" w:rsidR="002C21A4" w:rsidRPr="002C21A4" w:rsidRDefault="002C21A4" w:rsidP="00F1640B">
            <w:pPr>
              <w:rPr>
                <w:bCs/>
              </w:rPr>
            </w:pPr>
            <w:r w:rsidRPr="002C21A4">
              <w:rPr>
                <w:bCs/>
              </w:rPr>
              <w:t>Secondary malignant neoplasm of cerebral meninges</w:t>
            </w:r>
          </w:p>
        </w:tc>
      </w:tr>
      <w:tr w:rsidR="001C22E5" w:rsidRPr="005144C0" w14:paraId="493EAA8C" w14:textId="77777777" w:rsidTr="009C55E9">
        <w:tc>
          <w:tcPr>
            <w:tcW w:w="2155" w:type="dxa"/>
          </w:tcPr>
          <w:p w14:paraId="74F9FFBE" w14:textId="252B0DC4" w:rsidR="001C22E5" w:rsidRDefault="001C22E5" w:rsidP="002C21A4">
            <w:pPr>
              <w:rPr>
                <w:bCs/>
              </w:rPr>
            </w:pPr>
            <w:r>
              <w:rPr>
                <w:bCs/>
              </w:rPr>
              <w:t>D33.0</w:t>
            </w:r>
          </w:p>
        </w:tc>
        <w:tc>
          <w:tcPr>
            <w:tcW w:w="7195" w:type="dxa"/>
          </w:tcPr>
          <w:p w14:paraId="35D50C1E" w14:textId="7A4EC0B5" w:rsidR="001C22E5" w:rsidRDefault="002C21A4" w:rsidP="00F1640B">
            <w:pPr>
              <w:rPr>
                <w:bCs/>
              </w:rPr>
            </w:pPr>
            <w:r w:rsidRPr="002C21A4">
              <w:rPr>
                <w:bCs/>
              </w:rPr>
              <w:t>Benign neoplasm of brain, supratentorial</w:t>
            </w:r>
          </w:p>
        </w:tc>
      </w:tr>
      <w:tr w:rsidR="002C21A4" w:rsidRPr="005144C0" w14:paraId="3F0301D4" w14:textId="77777777" w:rsidTr="009C55E9">
        <w:tc>
          <w:tcPr>
            <w:tcW w:w="2155" w:type="dxa"/>
          </w:tcPr>
          <w:p w14:paraId="70D51A30" w14:textId="716A0837" w:rsidR="002C21A4" w:rsidRDefault="002C21A4" w:rsidP="00F1640B">
            <w:pPr>
              <w:rPr>
                <w:bCs/>
              </w:rPr>
            </w:pPr>
            <w:r>
              <w:rPr>
                <w:bCs/>
              </w:rPr>
              <w:t>D33.1</w:t>
            </w:r>
          </w:p>
        </w:tc>
        <w:tc>
          <w:tcPr>
            <w:tcW w:w="7195" w:type="dxa"/>
          </w:tcPr>
          <w:p w14:paraId="3A5A8DE9" w14:textId="59C0CBCD" w:rsidR="002C21A4" w:rsidRPr="002C21A4" w:rsidRDefault="002C21A4" w:rsidP="00F1640B">
            <w:pPr>
              <w:rPr>
                <w:bCs/>
              </w:rPr>
            </w:pPr>
            <w:r w:rsidRPr="002C21A4">
              <w:rPr>
                <w:bCs/>
              </w:rPr>
              <w:t>Benign neoplasm of brain, infratentorial</w:t>
            </w:r>
          </w:p>
        </w:tc>
      </w:tr>
      <w:tr w:rsidR="002C21A4" w:rsidRPr="005144C0" w14:paraId="287E6285" w14:textId="77777777" w:rsidTr="009C55E9">
        <w:tc>
          <w:tcPr>
            <w:tcW w:w="2155" w:type="dxa"/>
          </w:tcPr>
          <w:p w14:paraId="53B5D034" w14:textId="54576637" w:rsidR="002C21A4" w:rsidRDefault="002C21A4" w:rsidP="002C21A4">
            <w:pPr>
              <w:rPr>
                <w:bCs/>
              </w:rPr>
            </w:pPr>
            <w:r>
              <w:rPr>
                <w:bCs/>
              </w:rPr>
              <w:t>D33.2</w:t>
            </w:r>
          </w:p>
        </w:tc>
        <w:tc>
          <w:tcPr>
            <w:tcW w:w="7195" w:type="dxa"/>
          </w:tcPr>
          <w:p w14:paraId="01014345" w14:textId="2E3FB0B4" w:rsidR="002C21A4" w:rsidRPr="002C21A4" w:rsidRDefault="002C21A4" w:rsidP="00F1640B">
            <w:pPr>
              <w:rPr>
                <w:bCs/>
              </w:rPr>
            </w:pPr>
            <w:r w:rsidRPr="002C21A4">
              <w:rPr>
                <w:bCs/>
              </w:rPr>
              <w:t>Benign neoplasm of brain, unspecified</w:t>
            </w:r>
          </w:p>
        </w:tc>
      </w:tr>
      <w:tr w:rsidR="001C22E5" w:rsidRPr="005144C0" w14:paraId="2E54D2C9" w14:textId="77777777" w:rsidTr="009C55E9">
        <w:tc>
          <w:tcPr>
            <w:tcW w:w="2155" w:type="dxa"/>
          </w:tcPr>
          <w:p w14:paraId="64F729B2" w14:textId="716CE904" w:rsidR="001C22E5" w:rsidRDefault="001C22E5" w:rsidP="002C21A4">
            <w:pPr>
              <w:rPr>
                <w:bCs/>
              </w:rPr>
            </w:pPr>
            <w:r>
              <w:rPr>
                <w:bCs/>
              </w:rPr>
              <w:t>D43.0</w:t>
            </w:r>
          </w:p>
        </w:tc>
        <w:tc>
          <w:tcPr>
            <w:tcW w:w="7195" w:type="dxa"/>
          </w:tcPr>
          <w:p w14:paraId="7907765D" w14:textId="5846B70B" w:rsidR="001C22E5" w:rsidRDefault="002C21A4" w:rsidP="00F1640B">
            <w:pPr>
              <w:rPr>
                <w:bCs/>
              </w:rPr>
            </w:pPr>
            <w:r w:rsidRPr="002C21A4">
              <w:rPr>
                <w:bCs/>
              </w:rPr>
              <w:t>Neoplasm of uncertain behavior of brain, supratentorial</w:t>
            </w:r>
          </w:p>
        </w:tc>
      </w:tr>
      <w:tr w:rsidR="002C21A4" w:rsidRPr="005144C0" w14:paraId="54D45E8B" w14:textId="77777777" w:rsidTr="009C55E9">
        <w:tc>
          <w:tcPr>
            <w:tcW w:w="2155" w:type="dxa"/>
          </w:tcPr>
          <w:p w14:paraId="21EFCC8B" w14:textId="2BE9185C" w:rsidR="002C21A4" w:rsidRDefault="002C21A4" w:rsidP="00F1640B">
            <w:pPr>
              <w:rPr>
                <w:bCs/>
              </w:rPr>
            </w:pPr>
            <w:r>
              <w:rPr>
                <w:bCs/>
              </w:rPr>
              <w:t>D43.1</w:t>
            </w:r>
          </w:p>
        </w:tc>
        <w:tc>
          <w:tcPr>
            <w:tcW w:w="7195" w:type="dxa"/>
          </w:tcPr>
          <w:p w14:paraId="0786AE2B" w14:textId="1633D418" w:rsidR="002C21A4" w:rsidRDefault="002C21A4" w:rsidP="00F1640B">
            <w:pPr>
              <w:rPr>
                <w:bCs/>
              </w:rPr>
            </w:pPr>
            <w:r w:rsidRPr="002C21A4">
              <w:rPr>
                <w:bCs/>
              </w:rPr>
              <w:t>Neoplasm of uncertain behavior of brain, infratentorial</w:t>
            </w:r>
          </w:p>
        </w:tc>
      </w:tr>
      <w:tr w:rsidR="002C21A4" w:rsidRPr="005144C0" w14:paraId="5D184E42" w14:textId="77777777" w:rsidTr="009C55E9">
        <w:tc>
          <w:tcPr>
            <w:tcW w:w="2155" w:type="dxa"/>
          </w:tcPr>
          <w:p w14:paraId="0F86C1AC" w14:textId="087F2401" w:rsidR="002C21A4" w:rsidRDefault="002C21A4" w:rsidP="00F1640B">
            <w:pPr>
              <w:rPr>
                <w:bCs/>
              </w:rPr>
            </w:pPr>
            <w:r>
              <w:rPr>
                <w:bCs/>
              </w:rPr>
              <w:t>D43.2</w:t>
            </w:r>
          </w:p>
        </w:tc>
        <w:tc>
          <w:tcPr>
            <w:tcW w:w="7195" w:type="dxa"/>
          </w:tcPr>
          <w:p w14:paraId="3FC0A8CB" w14:textId="7F66BA95" w:rsidR="002C21A4" w:rsidRDefault="002C21A4" w:rsidP="00F1640B">
            <w:pPr>
              <w:rPr>
                <w:bCs/>
              </w:rPr>
            </w:pPr>
            <w:r w:rsidRPr="002C21A4">
              <w:rPr>
                <w:bCs/>
              </w:rPr>
              <w:t>Neoplasm of uncertain behavior of brain, unspecified</w:t>
            </w:r>
          </w:p>
        </w:tc>
      </w:tr>
      <w:tr w:rsidR="001C22E5" w:rsidRPr="005144C0" w14:paraId="29576405" w14:textId="77777777" w:rsidTr="009C55E9">
        <w:tc>
          <w:tcPr>
            <w:tcW w:w="2155" w:type="dxa"/>
          </w:tcPr>
          <w:p w14:paraId="16A83D3B" w14:textId="49158F61" w:rsidR="001C22E5" w:rsidRDefault="001C22E5" w:rsidP="001C22E5">
            <w:pPr>
              <w:rPr>
                <w:bCs/>
              </w:rPr>
            </w:pPr>
            <w:r>
              <w:rPr>
                <w:bCs/>
              </w:rPr>
              <w:t>G40.001-G40.919</w:t>
            </w:r>
          </w:p>
        </w:tc>
        <w:tc>
          <w:tcPr>
            <w:tcW w:w="7195" w:type="dxa"/>
          </w:tcPr>
          <w:p w14:paraId="4F41C60B" w14:textId="7F2DAD24" w:rsidR="001C22E5" w:rsidRDefault="002C21A4" w:rsidP="00F1640B">
            <w:pPr>
              <w:rPr>
                <w:bCs/>
              </w:rPr>
            </w:pPr>
            <w:r w:rsidRPr="002C21A4">
              <w:rPr>
                <w:bCs/>
              </w:rPr>
              <w:t>Epilepsy and recurrent seizures</w:t>
            </w:r>
          </w:p>
        </w:tc>
      </w:tr>
      <w:tr w:rsidR="001C22E5" w:rsidRPr="005144C0" w14:paraId="708AF944" w14:textId="77777777" w:rsidTr="009C55E9">
        <w:tc>
          <w:tcPr>
            <w:tcW w:w="2155" w:type="dxa"/>
          </w:tcPr>
          <w:p w14:paraId="548FD07E" w14:textId="4E450DA3" w:rsidR="001C22E5" w:rsidRDefault="001C22E5" w:rsidP="00E9133F">
            <w:pPr>
              <w:rPr>
                <w:bCs/>
              </w:rPr>
            </w:pPr>
            <w:r>
              <w:rPr>
                <w:bCs/>
              </w:rPr>
              <w:t>Q28.2</w:t>
            </w:r>
          </w:p>
        </w:tc>
        <w:tc>
          <w:tcPr>
            <w:tcW w:w="7195" w:type="dxa"/>
          </w:tcPr>
          <w:p w14:paraId="2C3E63E4" w14:textId="7F0D523E" w:rsidR="001C22E5" w:rsidRDefault="002C21A4" w:rsidP="00F1640B">
            <w:pPr>
              <w:rPr>
                <w:bCs/>
              </w:rPr>
            </w:pPr>
            <w:r w:rsidRPr="002C21A4">
              <w:rPr>
                <w:bCs/>
              </w:rPr>
              <w:t>Arteriovenous malformation of cerebral vessels</w:t>
            </w:r>
          </w:p>
        </w:tc>
      </w:tr>
      <w:tr w:rsidR="002C21A4" w:rsidRPr="005144C0" w14:paraId="612C647E" w14:textId="77777777" w:rsidTr="009C55E9">
        <w:tc>
          <w:tcPr>
            <w:tcW w:w="2155" w:type="dxa"/>
          </w:tcPr>
          <w:p w14:paraId="190E19C0" w14:textId="7FFE39CB" w:rsidR="002C21A4" w:rsidRDefault="00E9133F" w:rsidP="001C22E5">
            <w:pPr>
              <w:rPr>
                <w:bCs/>
              </w:rPr>
            </w:pPr>
            <w:r>
              <w:rPr>
                <w:bCs/>
              </w:rPr>
              <w:t>Q28.3</w:t>
            </w:r>
          </w:p>
        </w:tc>
        <w:tc>
          <w:tcPr>
            <w:tcW w:w="7195" w:type="dxa"/>
          </w:tcPr>
          <w:p w14:paraId="4CFEAC7F" w14:textId="4837EF55" w:rsidR="002C21A4" w:rsidRPr="002C21A4" w:rsidRDefault="00E9133F" w:rsidP="00F1640B">
            <w:pPr>
              <w:rPr>
                <w:bCs/>
              </w:rPr>
            </w:pPr>
            <w:r w:rsidRPr="00E9133F">
              <w:rPr>
                <w:bCs/>
              </w:rPr>
              <w:t>Other malformations of cerebral vessels</w:t>
            </w:r>
          </w:p>
        </w:tc>
      </w:tr>
      <w:tr w:rsidR="001C22E5" w:rsidRPr="005144C0" w14:paraId="17CB19C0" w14:textId="77777777" w:rsidTr="009C55E9">
        <w:tc>
          <w:tcPr>
            <w:tcW w:w="2155" w:type="dxa"/>
          </w:tcPr>
          <w:p w14:paraId="446135BD" w14:textId="65A789CE" w:rsidR="001C22E5" w:rsidRDefault="001C22E5" w:rsidP="001C22E5">
            <w:pPr>
              <w:rPr>
                <w:bCs/>
              </w:rPr>
            </w:pPr>
            <w:r>
              <w:rPr>
                <w:bCs/>
              </w:rPr>
              <w:lastRenderedPageBreak/>
              <w:t>R56.1</w:t>
            </w:r>
          </w:p>
        </w:tc>
        <w:tc>
          <w:tcPr>
            <w:tcW w:w="7195" w:type="dxa"/>
          </w:tcPr>
          <w:p w14:paraId="60577FB5" w14:textId="3C4393C5" w:rsidR="001C22E5" w:rsidRDefault="00E9133F" w:rsidP="00F1640B">
            <w:pPr>
              <w:rPr>
                <w:bCs/>
              </w:rPr>
            </w:pPr>
            <w:r w:rsidRPr="00E9133F">
              <w:rPr>
                <w:bCs/>
              </w:rPr>
              <w:t>Post traumatic seizures</w:t>
            </w:r>
          </w:p>
        </w:tc>
      </w:tr>
      <w:tr w:rsidR="001C22E5" w:rsidRPr="005144C0" w14:paraId="3BC7CD38" w14:textId="77777777" w:rsidTr="009C55E9">
        <w:tc>
          <w:tcPr>
            <w:tcW w:w="2155" w:type="dxa"/>
          </w:tcPr>
          <w:p w14:paraId="68C7D6C4" w14:textId="7FF5E3B2" w:rsidR="001C22E5" w:rsidRDefault="001C22E5" w:rsidP="001C22E5">
            <w:pPr>
              <w:rPr>
                <w:bCs/>
              </w:rPr>
            </w:pPr>
            <w:r>
              <w:rPr>
                <w:bCs/>
              </w:rPr>
              <w:t>R56.9</w:t>
            </w:r>
          </w:p>
        </w:tc>
        <w:tc>
          <w:tcPr>
            <w:tcW w:w="7195" w:type="dxa"/>
          </w:tcPr>
          <w:p w14:paraId="55871F47" w14:textId="5942E665" w:rsidR="001C22E5" w:rsidRDefault="00E9133F" w:rsidP="00F1640B">
            <w:pPr>
              <w:rPr>
                <w:bCs/>
              </w:rPr>
            </w:pPr>
            <w:r w:rsidRPr="00E9133F">
              <w:rPr>
                <w:bCs/>
              </w:rPr>
              <w:t>Unspecified convulsions</w:t>
            </w:r>
          </w:p>
        </w:tc>
      </w:tr>
    </w:tbl>
    <w:p w14:paraId="07F4DC0F" w14:textId="77777777" w:rsidR="00F95B01" w:rsidRDefault="00F95B01" w:rsidP="00AF5490"/>
    <w:tbl>
      <w:tblPr>
        <w:tblStyle w:val="LightList-Accent1"/>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280"/>
        <w:gridCol w:w="810"/>
        <w:gridCol w:w="1260"/>
      </w:tblGrid>
      <w:tr w:rsidR="00B777AF" w:rsidRPr="00B777AF" w14:paraId="3020365C" w14:textId="77777777" w:rsidTr="00DB248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280" w:type="dxa"/>
            <w:tcBorders>
              <w:left w:val="none" w:sz="0" w:space="0" w:color="auto"/>
              <w:right w:val="none" w:sz="0" w:space="0" w:color="auto"/>
            </w:tcBorders>
            <w:shd w:val="clear" w:color="auto" w:fill="00548C"/>
          </w:tcPr>
          <w:p w14:paraId="221857D8"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1AEEBC62"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53BDB6F2"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431B54" w14:paraId="76132BB2" w14:textId="77777777" w:rsidTr="00DB24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80" w:type="dxa"/>
          </w:tcPr>
          <w:p w14:paraId="5ED23618" w14:textId="77777777" w:rsidR="00431B54" w:rsidRDefault="00431B54" w:rsidP="00222901">
            <w:pPr>
              <w:tabs>
                <w:tab w:val="num" w:pos="720"/>
              </w:tabs>
            </w:pPr>
            <w:r>
              <w:t>Clarified policy/criteria language into bullet points</w:t>
            </w:r>
          </w:p>
        </w:tc>
        <w:tc>
          <w:tcPr>
            <w:tcW w:w="810" w:type="dxa"/>
          </w:tcPr>
          <w:p w14:paraId="41722C48" w14:textId="77777777" w:rsidR="00431B54" w:rsidRDefault="00431B54" w:rsidP="00222901">
            <w:pPr>
              <w:cnfStyle w:val="000000100000" w:firstRow="0" w:lastRow="0" w:firstColumn="0" w:lastColumn="0" w:oddVBand="0" w:evenVBand="0" w:oddHBand="1" w:evenHBand="0" w:firstRowFirstColumn="0" w:firstRowLastColumn="0" w:lastRowFirstColumn="0" w:lastRowLastColumn="0"/>
            </w:pPr>
            <w:r>
              <w:t>10/13</w:t>
            </w:r>
          </w:p>
        </w:tc>
        <w:tc>
          <w:tcPr>
            <w:cnfStyle w:val="000010000000" w:firstRow="0" w:lastRow="0" w:firstColumn="0" w:lastColumn="0" w:oddVBand="1" w:evenVBand="0" w:oddHBand="0" w:evenHBand="0" w:firstRowFirstColumn="0" w:firstRowLastColumn="0" w:lastRowFirstColumn="0" w:lastRowLastColumn="0"/>
            <w:tcW w:w="1260" w:type="dxa"/>
          </w:tcPr>
          <w:p w14:paraId="54199FC5" w14:textId="77777777" w:rsidR="00431B54" w:rsidRDefault="00431B54" w:rsidP="00857C10">
            <w:pPr>
              <w:jc w:val="center"/>
            </w:pPr>
            <w:r>
              <w:t>10/13</w:t>
            </w:r>
          </w:p>
        </w:tc>
      </w:tr>
      <w:tr w:rsidR="00431B54" w14:paraId="0C406325" w14:textId="77777777" w:rsidTr="00DB2482">
        <w:tc>
          <w:tcPr>
            <w:cnfStyle w:val="000010000000" w:firstRow="0" w:lastRow="0" w:firstColumn="0" w:lastColumn="0" w:oddVBand="1" w:evenVBand="0" w:oddHBand="0" w:evenHBand="0" w:firstRowFirstColumn="0" w:firstRowLastColumn="0" w:lastRowFirstColumn="0" w:lastRowLastColumn="0"/>
            <w:tcW w:w="7280" w:type="dxa"/>
          </w:tcPr>
          <w:p w14:paraId="5880316A" w14:textId="77777777" w:rsidR="00431B54" w:rsidRDefault="00431B54" w:rsidP="00222901">
            <w:pPr>
              <w:tabs>
                <w:tab w:val="num" w:pos="720"/>
              </w:tabs>
            </w:pPr>
            <w:r>
              <w:t xml:space="preserve">Added criteria A.4 and B per </w:t>
            </w:r>
            <w:r>
              <w:rPr>
                <w:bCs/>
              </w:rPr>
              <w:t>ACR-ASNR-SPR</w:t>
            </w:r>
            <w:r w:rsidRPr="00236310">
              <w:rPr>
                <w:bCs/>
              </w:rPr>
              <w:t xml:space="preserve"> Practice </w:t>
            </w:r>
            <w:r>
              <w:rPr>
                <w:bCs/>
              </w:rPr>
              <w:t>parameters</w:t>
            </w:r>
          </w:p>
        </w:tc>
        <w:tc>
          <w:tcPr>
            <w:tcW w:w="810" w:type="dxa"/>
          </w:tcPr>
          <w:p w14:paraId="48F4A31F" w14:textId="77777777" w:rsidR="00431B54" w:rsidRDefault="00431B54" w:rsidP="00222901">
            <w:pPr>
              <w:cnfStyle w:val="000000000000" w:firstRow="0" w:lastRow="0" w:firstColumn="0" w:lastColumn="0" w:oddVBand="0" w:evenVBand="0" w:oddHBand="0" w:evenHBand="0" w:firstRowFirstColumn="0" w:firstRowLastColumn="0" w:lastRowFirstColumn="0" w:lastRowLastColumn="0"/>
            </w:pPr>
            <w:r>
              <w:t>10/14</w:t>
            </w:r>
          </w:p>
        </w:tc>
        <w:tc>
          <w:tcPr>
            <w:cnfStyle w:val="000010000000" w:firstRow="0" w:lastRow="0" w:firstColumn="0" w:lastColumn="0" w:oddVBand="1" w:evenVBand="0" w:oddHBand="0" w:evenHBand="0" w:firstRowFirstColumn="0" w:firstRowLastColumn="0" w:lastRowFirstColumn="0" w:lastRowLastColumn="0"/>
            <w:tcW w:w="1260" w:type="dxa"/>
          </w:tcPr>
          <w:p w14:paraId="6C22C083" w14:textId="77777777" w:rsidR="00431B54" w:rsidRDefault="00431B54" w:rsidP="00857C10">
            <w:pPr>
              <w:jc w:val="center"/>
            </w:pPr>
            <w:r>
              <w:t>10/14</w:t>
            </w:r>
          </w:p>
        </w:tc>
      </w:tr>
      <w:tr w:rsidR="00431B54" w14:paraId="1D931DA0" w14:textId="77777777" w:rsidTr="00DB24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80" w:type="dxa"/>
          </w:tcPr>
          <w:p w14:paraId="1D28382B" w14:textId="77777777" w:rsidR="009D1A03" w:rsidRDefault="009D1A03" w:rsidP="00222901">
            <w:pPr>
              <w:tabs>
                <w:tab w:val="num" w:pos="720"/>
              </w:tabs>
            </w:pPr>
            <w:r>
              <w:t>Converted into new template</w:t>
            </w:r>
          </w:p>
          <w:p w14:paraId="2AFF862A" w14:textId="77777777" w:rsidR="00431B54" w:rsidRDefault="00431B54" w:rsidP="00222901">
            <w:pPr>
              <w:tabs>
                <w:tab w:val="num" w:pos="720"/>
              </w:tabs>
            </w:pPr>
            <w:r>
              <w:t>References reviewed and updated</w:t>
            </w:r>
          </w:p>
        </w:tc>
        <w:tc>
          <w:tcPr>
            <w:tcW w:w="810" w:type="dxa"/>
          </w:tcPr>
          <w:p w14:paraId="27CACA1B" w14:textId="77777777" w:rsidR="00431B54" w:rsidRDefault="00431B54" w:rsidP="00222901">
            <w:pPr>
              <w:cnfStyle w:val="000000100000" w:firstRow="0" w:lastRow="0" w:firstColumn="0" w:lastColumn="0" w:oddVBand="0" w:evenVBand="0" w:oddHBand="1" w:evenHBand="0" w:firstRowFirstColumn="0" w:firstRowLastColumn="0" w:lastRowFirstColumn="0" w:lastRowLastColumn="0"/>
            </w:pPr>
            <w:r>
              <w:t>10/15</w:t>
            </w:r>
          </w:p>
        </w:tc>
        <w:tc>
          <w:tcPr>
            <w:cnfStyle w:val="000010000000" w:firstRow="0" w:lastRow="0" w:firstColumn="0" w:lastColumn="0" w:oddVBand="1" w:evenVBand="0" w:oddHBand="0" w:evenHBand="0" w:firstRowFirstColumn="0" w:firstRowLastColumn="0" w:lastRowFirstColumn="0" w:lastRowLastColumn="0"/>
            <w:tcW w:w="1260" w:type="dxa"/>
          </w:tcPr>
          <w:p w14:paraId="29B84746" w14:textId="77777777" w:rsidR="00431B54" w:rsidRDefault="00DB2E57" w:rsidP="00857C10">
            <w:pPr>
              <w:jc w:val="center"/>
            </w:pPr>
            <w:r>
              <w:t>10/15</w:t>
            </w:r>
          </w:p>
        </w:tc>
      </w:tr>
      <w:tr w:rsidR="000401B4" w14:paraId="12DF26B0" w14:textId="77777777" w:rsidTr="00DB2482">
        <w:tc>
          <w:tcPr>
            <w:cnfStyle w:val="000010000000" w:firstRow="0" w:lastRow="0" w:firstColumn="0" w:lastColumn="0" w:oddVBand="1" w:evenVBand="0" w:oddHBand="0" w:evenHBand="0" w:firstRowFirstColumn="0" w:firstRowLastColumn="0" w:lastRowFirstColumn="0" w:lastRowLastColumn="0"/>
            <w:tcW w:w="7280" w:type="dxa"/>
          </w:tcPr>
          <w:p w14:paraId="2FE44AC2" w14:textId="77777777" w:rsidR="000401B4" w:rsidRDefault="000401B4" w:rsidP="00222901">
            <w:pPr>
              <w:tabs>
                <w:tab w:val="num" w:pos="720"/>
              </w:tabs>
            </w:pPr>
            <w:r>
              <w:t>Template updated</w:t>
            </w:r>
          </w:p>
          <w:p w14:paraId="6414C0D4" w14:textId="77777777" w:rsidR="000401B4" w:rsidRDefault="000401B4" w:rsidP="00222901">
            <w:pPr>
              <w:tabs>
                <w:tab w:val="num" w:pos="720"/>
              </w:tabs>
            </w:pPr>
            <w:r>
              <w:t>References reviewed and updated</w:t>
            </w:r>
          </w:p>
        </w:tc>
        <w:tc>
          <w:tcPr>
            <w:tcW w:w="810" w:type="dxa"/>
          </w:tcPr>
          <w:p w14:paraId="0B366261" w14:textId="77777777" w:rsidR="000401B4" w:rsidRDefault="000401B4" w:rsidP="00222901">
            <w:pPr>
              <w:cnfStyle w:val="000000000000" w:firstRow="0" w:lastRow="0" w:firstColumn="0" w:lastColumn="0" w:oddVBand="0" w:evenVBand="0" w:oddHBand="0" w:evenHBand="0" w:firstRowFirstColumn="0" w:firstRowLastColumn="0" w:lastRowFirstColumn="0" w:lastRowLastColumn="0"/>
            </w:pPr>
            <w:r>
              <w:t>10/16</w:t>
            </w:r>
          </w:p>
        </w:tc>
        <w:tc>
          <w:tcPr>
            <w:cnfStyle w:val="000010000000" w:firstRow="0" w:lastRow="0" w:firstColumn="0" w:lastColumn="0" w:oddVBand="1" w:evenVBand="0" w:oddHBand="0" w:evenHBand="0" w:firstRowFirstColumn="0" w:firstRowLastColumn="0" w:lastRowFirstColumn="0" w:lastRowLastColumn="0"/>
            <w:tcW w:w="1260" w:type="dxa"/>
          </w:tcPr>
          <w:p w14:paraId="4068E327" w14:textId="77777777" w:rsidR="000401B4" w:rsidRDefault="00DD6A80" w:rsidP="00857C10">
            <w:pPr>
              <w:jc w:val="center"/>
            </w:pPr>
            <w:r>
              <w:t>10/16</w:t>
            </w:r>
          </w:p>
        </w:tc>
      </w:tr>
      <w:tr w:rsidR="001C5149" w14:paraId="550C49C1" w14:textId="77777777" w:rsidTr="00DB24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80" w:type="dxa"/>
          </w:tcPr>
          <w:p w14:paraId="15DBE769" w14:textId="77777777" w:rsidR="001C5149" w:rsidRDefault="00E17C60" w:rsidP="00222901">
            <w:pPr>
              <w:tabs>
                <w:tab w:val="num" w:pos="720"/>
              </w:tabs>
            </w:pPr>
            <w:r>
              <w:t>In I.A changed “brain tumor” to “</w:t>
            </w:r>
            <w:r w:rsidRPr="00E17C60">
              <w:t>intracranial neoplasm and other targeted lesions</w:t>
            </w:r>
            <w:r>
              <w:t>” based on ACR guidelines updated in 2017.</w:t>
            </w:r>
          </w:p>
          <w:p w14:paraId="304966D6" w14:textId="522494FB" w:rsidR="00E17C60" w:rsidRDefault="001B45B4" w:rsidP="00222901">
            <w:pPr>
              <w:tabs>
                <w:tab w:val="num" w:pos="720"/>
              </w:tabs>
            </w:pPr>
            <w:r>
              <w:t>Added I.D “</w:t>
            </w:r>
            <w:r w:rsidRPr="001B45B4">
              <w:t>Assessment of radiation treatment planning and post-treatmen</w:t>
            </w:r>
            <w:r w:rsidR="00902E3D">
              <w:t>t evaluation of eloquent cortex” b</w:t>
            </w:r>
            <w:r>
              <w:t>ased on ACR guidelines updated in 2017.</w:t>
            </w:r>
          </w:p>
        </w:tc>
        <w:tc>
          <w:tcPr>
            <w:tcW w:w="810" w:type="dxa"/>
          </w:tcPr>
          <w:p w14:paraId="0AFAE25B" w14:textId="77777777" w:rsidR="001C5149" w:rsidRDefault="007A0C6C" w:rsidP="00222901">
            <w:pPr>
              <w:cnfStyle w:val="000000100000" w:firstRow="0" w:lastRow="0" w:firstColumn="0" w:lastColumn="0" w:oddVBand="0" w:evenVBand="0" w:oddHBand="1" w:evenHBand="0" w:firstRowFirstColumn="0" w:firstRowLastColumn="0" w:lastRowFirstColumn="0" w:lastRowLastColumn="0"/>
            </w:pPr>
            <w:r>
              <w:t>10/17</w:t>
            </w:r>
          </w:p>
        </w:tc>
        <w:tc>
          <w:tcPr>
            <w:cnfStyle w:val="000010000000" w:firstRow="0" w:lastRow="0" w:firstColumn="0" w:lastColumn="0" w:oddVBand="1" w:evenVBand="0" w:oddHBand="0" w:evenHBand="0" w:firstRowFirstColumn="0" w:firstRowLastColumn="0" w:lastRowFirstColumn="0" w:lastRowLastColumn="0"/>
            <w:tcW w:w="1260" w:type="dxa"/>
          </w:tcPr>
          <w:p w14:paraId="55CA82E4" w14:textId="42AC418B" w:rsidR="001C5149" w:rsidRDefault="00902E3D" w:rsidP="00857C10">
            <w:pPr>
              <w:jc w:val="center"/>
            </w:pPr>
            <w:r>
              <w:t>10/17</w:t>
            </w:r>
          </w:p>
        </w:tc>
      </w:tr>
      <w:tr w:rsidR="00BB1170" w14:paraId="09DB9BEF" w14:textId="77777777" w:rsidTr="00DB2482">
        <w:tc>
          <w:tcPr>
            <w:cnfStyle w:val="000010000000" w:firstRow="0" w:lastRow="0" w:firstColumn="0" w:lastColumn="0" w:oddVBand="1" w:evenVBand="0" w:oddHBand="0" w:evenHBand="0" w:firstRowFirstColumn="0" w:firstRowLastColumn="0" w:lastRowFirstColumn="0" w:lastRowLastColumn="0"/>
            <w:tcW w:w="7280" w:type="dxa"/>
          </w:tcPr>
          <w:p w14:paraId="708CF4B5" w14:textId="76EF1D45" w:rsidR="00BB1170" w:rsidRDefault="000A7F04" w:rsidP="006206FB">
            <w:pPr>
              <w:tabs>
                <w:tab w:val="num" w:pos="720"/>
              </w:tabs>
            </w:pPr>
            <w:r>
              <w:t xml:space="preserve">Background updated with AAN 2017 </w:t>
            </w:r>
            <w:r w:rsidR="006206FB">
              <w:t>P</w:t>
            </w:r>
            <w:r>
              <w:t xml:space="preserve">ractice </w:t>
            </w:r>
            <w:r w:rsidR="006206FB">
              <w:t>P</w:t>
            </w:r>
            <w:r>
              <w:t>arameter. ICD-10 codes added.  References reviewed and updated.</w:t>
            </w:r>
          </w:p>
        </w:tc>
        <w:tc>
          <w:tcPr>
            <w:tcW w:w="810" w:type="dxa"/>
          </w:tcPr>
          <w:p w14:paraId="6A94AD8D" w14:textId="0424A75C" w:rsidR="00BB1170" w:rsidRDefault="000A7F04" w:rsidP="00222901">
            <w:pPr>
              <w:cnfStyle w:val="000000000000" w:firstRow="0" w:lastRow="0" w:firstColumn="0" w:lastColumn="0" w:oddVBand="0" w:evenVBand="0" w:oddHBand="0" w:evenHBand="0" w:firstRowFirstColumn="0" w:firstRowLastColumn="0" w:lastRowFirstColumn="0" w:lastRowLastColumn="0"/>
            </w:pPr>
            <w:r>
              <w:t>09/18</w:t>
            </w:r>
          </w:p>
        </w:tc>
        <w:tc>
          <w:tcPr>
            <w:cnfStyle w:val="000010000000" w:firstRow="0" w:lastRow="0" w:firstColumn="0" w:lastColumn="0" w:oddVBand="1" w:evenVBand="0" w:oddHBand="0" w:evenHBand="0" w:firstRowFirstColumn="0" w:firstRowLastColumn="0" w:lastRowFirstColumn="0" w:lastRowLastColumn="0"/>
            <w:tcW w:w="1260" w:type="dxa"/>
          </w:tcPr>
          <w:p w14:paraId="64D2E658" w14:textId="5EA9100D" w:rsidR="00BB1170" w:rsidRDefault="00392A0E" w:rsidP="00857C10">
            <w:pPr>
              <w:jc w:val="center"/>
            </w:pPr>
            <w:r>
              <w:t>09/18</w:t>
            </w:r>
          </w:p>
        </w:tc>
      </w:tr>
      <w:tr w:rsidR="005E1D82" w14:paraId="4ECA3CF5" w14:textId="77777777" w:rsidTr="00DB24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80" w:type="dxa"/>
          </w:tcPr>
          <w:p w14:paraId="3E21F496" w14:textId="24E0695C" w:rsidR="005E1D82" w:rsidRDefault="005E1D82" w:rsidP="006206FB">
            <w:pPr>
              <w:tabs>
                <w:tab w:val="num" w:pos="720"/>
              </w:tabs>
            </w:pPr>
            <w:r>
              <w:t>Annual review completed.  Codes reviewed.  References reviewed and updated.  Specialty review completed.</w:t>
            </w:r>
          </w:p>
        </w:tc>
        <w:tc>
          <w:tcPr>
            <w:tcW w:w="810" w:type="dxa"/>
          </w:tcPr>
          <w:p w14:paraId="37B0FD94" w14:textId="07FF8F33" w:rsidR="005E1D82" w:rsidRDefault="005E1D82" w:rsidP="00222901">
            <w:pPr>
              <w:cnfStyle w:val="000000100000" w:firstRow="0" w:lastRow="0" w:firstColumn="0" w:lastColumn="0" w:oddVBand="0" w:evenVBand="0" w:oddHBand="1" w:evenHBand="0" w:firstRowFirstColumn="0" w:firstRowLastColumn="0" w:lastRowFirstColumn="0" w:lastRowLastColumn="0"/>
            </w:pPr>
            <w:r>
              <w:t>09/19</w:t>
            </w:r>
          </w:p>
        </w:tc>
        <w:tc>
          <w:tcPr>
            <w:cnfStyle w:val="000010000000" w:firstRow="0" w:lastRow="0" w:firstColumn="0" w:lastColumn="0" w:oddVBand="1" w:evenVBand="0" w:oddHBand="0" w:evenHBand="0" w:firstRowFirstColumn="0" w:firstRowLastColumn="0" w:lastRowFirstColumn="0" w:lastRowLastColumn="0"/>
            <w:tcW w:w="1260" w:type="dxa"/>
          </w:tcPr>
          <w:p w14:paraId="1BFCDD80" w14:textId="20AD3578" w:rsidR="005E1D82" w:rsidRDefault="00D5758E" w:rsidP="00857C10">
            <w:pPr>
              <w:jc w:val="center"/>
            </w:pPr>
            <w:r>
              <w:t>09/19</w:t>
            </w:r>
            <w:bookmarkStart w:id="2" w:name="_GoBack"/>
            <w:bookmarkEnd w:id="2"/>
          </w:p>
        </w:tc>
      </w:tr>
    </w:tbl>
    <w:p w14:paraId="7AF25D07" w14:textId="77777777" w:rsidR="006B3E27" w:rsidRDefault="006B3E27" w:rsidP="00963062">
      <w:pPr>
        <w:pStyle w:val="Heading3"/>
        <w:sectPr w:rsidR="006B3E27" w:rsidSect="00480C09">
          <w:type w:val="continuous"/>
          <w:pgSz w:w="12240" w:h="15840" w:code="1"/>
          <w:pgMar w:top="1440" w:right="1440" w:bottom="1440" w:left="1440" w:header="576" w:footer="288" w:gutter="0"/>
          <w:cols w:space="720"/>
          <w:titlePg/>
          <w:docGrid w:linePitch="360"/>
        </w:sectPr>
      </w:pPr>
    </w:p>
    <w:p w14:paraId="000037F5" w14:textId="7688D8CE" w:rsidR="00963062" w:rsidRPr="00B777AF" w:rsidRDefault="00963062" w:rsidP="00963062">
      <w:pPr>
        <w:pStyle w:val="Heading3"/>
      </w:pPr>
      <w:r w:rsidRPr="00B777AF">
        <w:t>Bibliography</w:t>
      </w:r>
    </w:p>
    <w:p w14:paraId="4ABDE3CC" w14:textId="16D9BEBB" w:rsidR="00034DA7" w:rsidRDefault="00431B54" w:rsidP="00034DA7">
      <w:pPr>
        <w:pStyle w:val="ListParagraph"/>
        <w:numPr>
          <w:ilvl w:val="0"/>
          <w:numId w:val="11"/>
        </w:numPr>
        <w:rPr>
          <w:bCs/>
        </w:rPr>
      </w:pPr>
      <w:r w:rsidRPr="0067583D">
        <w:rPr>
          <w:bCs/>
        </w:rPr>
        <w:t>ACR-ASNR-SPR Practice parameter for the performance of functional magnetic resonance Imaging (fMRI) of the brain. Amended 201</w:t>
      </w:r>
      <w:r w:rsidR="00E17C60">
        <w:rPr>
          <w:bCs/>
        </w:rPr>
        <w:t>7</w:t>
      </w:r>
      <w:r w:rsidRPr="0067583D">
        <w:rPr>
          <w:bCs/>
        </w:rPr>
        <w:t xml:space="preserve"> (Resolution </w:t>
      </w:r>
      <w:r w:rsidR="00E17C60">
        <w:rPr>
          <w:bCs/>
        </w:rPr>
        <w:t>20</w:t>
      </w:r>
      <w:r w:rsidRPr="0067583D">
        <w:rPr>
          <w:bCs/>
        </w:rPr>
        <w:t xml:space="preserve">). </w:t>
      </w:r>
    </w:p>
    <w:p w14:paraId="0466C7EC" w14:textId="77777777" w:rsidR="00431B54" w:rsidRDefault="00431B54" w:rsidP="0067583D">
      <w:pPr>
        <w:pStyle w:val="ListParagraph"/>
        <w:numPr>
          <w:ilvl w:val="0"/>
          <w:numId w:val="11"/>
        </w:numPr>
      </w:pPr>
      <w:r>
        <w:t>Bookheimer S. Pre-surgical language mapping with functional magnetic resonance imaging. Neuropsychol Rev. 2007;17(2):145-155.</w:t>
      </w:r>
    </w:p>
    <w:p w14:paraId="76104940" w14:textId="77777777" w:rsidR="00431B54" w:rsidRDefault="00431B54" w:rsidP="0067583D">
      <w:pPr>
        <w:pStyle w:val="ListParagraph"/>
        <w:numPr>
          <w:ilvl w:val="0"/>
          <w:numId w:val="11"/>
        </w:numPr>
      </w:pPr>
      <w:r>
        <w:t>Brown GG.  Functional magnetic resonance imaging in clinical practice: look before you leap.  Neuropsychol Rev, 2007; 17:103-106.</w:t>
      </w:r>
    </w:p>
    <w:p w14:paraId="69D71602" w14:textId="77777777" w:rsidR="00431B54" w:rsidRPr="0067583D" w:rsidRDefault="00431B54" w:rsidP="0067583D">
      <w:pPr>
        <w:pStyle w:val="ListParagraph"/>
        <w:numPr>
          <w:ilvl w:val="0"/>
          <w:numId w:val="11"/>
        </w:numPr>
        <w:rPr>
          <w:bCs/>
        </w:rPr>
      </w:pPr>
      <w:r>
        <w:t>Brown GG, Perthen JE, Liu LT, Buxton RB.  A primer on functional magnetic resonance imaging.  Neuropsychol Rev, 2007; 17:107-125.</w:t>
      </w:r>
    </w:p>
    <w:p w14:paraId="7B742B02" w14:textId="79923D94" w:rsidR="00431B54" w:rsidRPr="0067583D" w:rsidRDefault="00431B54" w:rsidP="0067583D">
      <w:pPr>
        <w:pStyle w:val="ListParagraph"/>
        <w:numPr>
          <w:ilvl w:val="0"/>
          <w:numId w:val="11"/>
        </w:numPr>
        <w:rPr>
          <w:bCs/>
        </w:rPr>
      </w:pPr>
      <w:r w:rsidRPr="0067583D">
        <w:rPr>
          <w:bCs/>
        </w:rPr>
        <w:t>Cascino GD.  Surgical treatment of epilepsy in adults.  In: UpToDate, Pedley TA (Ed), UpToDate, Waltham, MA, 2014.</w:t>
      </w:r>
      <w:r w:rsidR="00DC7812" w:rsidRPr="0067583D">
        <w:rPr>
          <w:bCs/>
        </w:rPr>
        <w:t xml:space="preserve"> Accessed </w:t>
      </w:r>
      <w:r w:rsidR="005E1D82">
        <w:rPr>
          <w:bCs/>
        </w:rPr>
        <w:t>09/04/19</w:t>
      </w:r>
      <w:r w:rsidR="001D7CC7">
        <w:rPr>
          <w:bCs/>
        </w:rPr>
        <w:t>.</w:t>
      </w:r>
    </w:p>
    <w:p w14:paraId="32A2D53A" w14:textId="3F16B34A" w:rsidR="00431B54" w:rsidRPr="0067583D" w:rsidRDefault="00431B54" w:rsidP="0067583D">
      <w:pPr>
        <w:pStyle w:val="ListParagraph"/>
        <w:numPr>
          <w:ilvl w:val="0"/>
          <w:numId w:val="11"/>
        </w:numPr>
        <w:rPr>
          <w:bCs/>
        </w:rPr>
      </w:pPr>
      <w:r w:rsidRPr="0067583D">
        <w:rPr>
          <w:bCs/>
        </w:rPr>
        <w:t>Hirsch LJ, Arif H.  Neuroimaging in the evaluation of seizures and epilepsy.  In: UpToDate, Pedley, TA (Ed), UpToDate, Waltham, MA.</w:t>
      </w:r>
      <w:r w:rsidR="000401B4" w:rsidRPr="0067583D">
        <w:rPr>
          <w:bCs/>
        </w:rPr>
        <w:t xml:space="preserve"> Accessed </w:t>
      </w:r>
      <w:r w:rsidR="0058690F">
        <w:rPr>
          <w:bCs/>
        </w:rPr>
        <w:t>09/04/19</w:t>
      </w:r>
      <w:r w:rsidR="001D7CC7">
        <w:rPr>
          <w:bCs/>
        </w:rPr>
        <w:t>.</w:t>
      </w:r>
    </w:p>
    <w:p w14:paraId="2BDAE252" w14:textId="0116E80A" w:rsidR="00431B54" w:rsidRPr="0067583D" w:rsidRDefault="00431B54" w:rsidP="0067583D">
      <w:pPr>
        <w:pStyle w:val="ListParagraph"/>
        <w:numPr>
          <w:ilvl w:val="0"/>
          <w:numId w:val="11"/>
        </w:numPr>
        <w:rPr>
          <w:bCs/>
        </w:rPr>
      </w:pPr>
      <w:r w:rsidRPr="0067583D">
        <w:rPr>
          <w:bCs/>
        </w:rPr>
        <w:t xml:space="preserve">Hunter JV.  Approach to neuroimaging in children.  In: UpToDate, Nordli DR, Schwartz ED (Ed), UpToDate, Waltham, MA, 2014. </w:t>
      </w:r>
      <w:r w:rsidR="00A75C72" w:rsidRPr="0067583D">
        <w:rPr>
          <w:bCs/>
        </w:rPr>
        <w:t xml:space="preserve">Accessed </w:t>
      </w:r>
      <w:r w:rsidR="0058690F">
        <w:rPr>
          <w:bCs/>
        </w:rPr>
        <w:t>09/04/19</w:t>
      </w:r>
      <w:r w:rsidR="001D7CC7">
        <w:rPr>
          <w:bCs/>
        </w:rPr>
        <w:t>.</w:t>
      </w:r>
    </w:p>
    <w:p w14:paraId="07292BE0" w14:textId="77777777" w:rsidR="00431B54" w:rsidRPr="0067583D" w:rsidRDefault="00431B54" w:rsidP="0067583D">
      <w:pPr>
        <w:pStyle w:val="ListParagraph"/>
        <w:numPr>
          <w:ilvl w:val="0"/>
          <w:numId w:val="11"/>
        </w:numPr>
        <w:rPr>
          <w:bCs/>
        </w:rPr>
      </w:pPr>
      <w:r w:rsidRPr="0067583D">
        <w:rPr>
          <w:bCs/>
        </w:rPr>
        <w:t>Medina LS, Bernal B, Dunoyer C, et al. Seizure disorders: Functional MR imaging for diagnostic evaluation and surgical treatment – prospective study. Radiology. 2005; 236:247-253.</w:t>
      </w:r>
    </w:p>
    <w:p w14:paraId="5184D9CF" w14:textId="77777777" w:rsidR="00431B54" w:rsidRPr="0067583D" w:rsidRDefault="00431B54" w:rsidP="0067583D">
      <w:pPr>
        <w:pStyle w:val="ListParagraph"/>
        <w:numPr>
          <w:ilvl w:val="0"/>
          <w:numId w:val="11"/>
        </w:numPr>
        <w:rPr>
          <w:bCs/>
        </w:rPr>
      </w:pPr>
      <w:r w:rsidRPr="0067583D">
        <w:rPr>
          <w:bCs/>
        </w:rPr>
        <w:t>Petrella JR, Shah LM, Harris KM, et al. Preoperative functional MR imaging localization of language and motor areas: Effect on therapeutic decision making in patents with potentially resectable brain tumors. Radiology. 2006; 240:793-802.  </w:t>
      </w:r>
    </w:p>
    <w:p w14:paraId="70A4C532" w14:textId="77777777" w:rsidR="00431B54" w:rsidRDefault="00431B54" w:rsidP="0067583D">
      <w:pPr>
        <w:pStyle w:val="ListParagraph"/>
        <w:numPr>
          <w:ilvl w:val="0"/>
          <w:numId w:val="11"/>
        </w:numPr>
      </w:pPr>
      <w:r w:rsidRPr="0067583D">
        <w:rPr>
          <w:bCs/>
        </w:rPr>
        <w:t>Stancanello J, Cavedon C, Francescon P, et al. BOLD fMRI integration into radiosurgery treatment planning of cerebral vascular malformations [Abstract]. Med Phys. 2007; 34(4):1176-1184.</w:t>
      </w:r>
    </w:p>
    <w:p w14:paraId="7C2DF7B0" w14:textId="77777777" w:rsidR="00431B54" w:rsidRDefault="00431B54" w:rsidP="0067583D">
      <w:pPr>
        <w:pStyle w:val="ListParagraph"/>
        <w:numPr>
          <w:ilvl w:val="0"/>
          <w:numId w:val="11"/>
        </w:numPr>
      </w:pPr>
      <w:r>
        <w:lastRenderedPageBreak/>
        <w:t xml:space="preserve">Stippich C, Rapps N, Dreyhaupt J, et al. Localizing and lateralizing language in patients with brain tumors: Feasibility of routine preoperative functional MR imaging in 81 consecutive patients. Radiology. 2007;243(3):828-836.  </w:t>
      </w:r>
    </w:p>
    <w:p w14:paraId="0A8403C4" w14:textId="77777777" w:rsidR="00431B54" w:rsidRPr="007413E3" w:rsidRDefault="00431B54" w:rsidP="0067583D">
      <w:pPr>
        <w:pStyle w:val="ListParagraph"/>
        <w:numPr>
          <w:ilvl w:val="0"/>
          <w:numId w:val="11"/>
        </w:numPr>
      </w:pPr>
      <w:r w:rsidRPr="007413E3">
        <w:t>Woermann FG, Jokeit H, Luerding R, et al. Language lateralization by Wada test and fMRI in 100 patients with epilepsy.</w:t>
      </w:r>
      <w:r>
        <w:t xml:space="preserve"> [Abstract]</w:t>
      </w:r>
      <w:r w:rsidRPr="007413E3">
        <w:t xml:space="preserve"> Neurology. 2003; 61(5):699-701.</w:t>
      </w:r>
    </w:p>
    <w:p w14:paraId="05912E2E" w14:textId="71659E64" w:rsidR="00963062" w:rsidRPr="003807FD" w:rsidRDefault="00431B54" w:rsidP="0067583D">
      <w:pPr>
        <w:pStyle w:val="ListParagraph"/>
        <w:numPr>
          <w:ilvl w:val="0"/>
          <w:numId w:val="11"/>
        </w:numPr>
      </w:pPr>
      <w:r w:rsidRPr="0067583D">
        <w:rPr>
          <w:bCs/>
        </w:rPr>
        <w:t xml:space="preserve">Wong ET, Wu JK.  </w:t>
      </w:r>
      <w:r w:rsidR="00943014">
        <w:rPr>
          <w:bCs/>
        </w:rPr>
        <w:t>Overview of the clinical features and diagnosis of brain tumors in adults</w:t>
      </w:r>
      <w:r w:rsidRPr="0067583D">
        <w:rPr>
          <w:bCs/>
        </w:rPr>
        <w:t>.  In: UpToDate, Loeffler JS, Wen PY (Ed), UpToDate, Waltham, MA, 2014.</w:t>
      </w:r>
      <w:r w:rsidR="00A75C72" w:rsidRPr="0067583D">
        <w:rPr>
          <w:bCs/>
        </w:rPr>
        <w:t xml:space="preserve"> </w:t>
      </w:r>
      <w:r w:rsidR="0058690F">
        <w:rPr>
          <w:bCs/>
        </w:rPr>
        <w:t>Accessed 09/04/19</w:t>
      </w:r>
      <w:r w:rsidR="00943014">
        <w:rPr>
          <w:bCs/>
        </w:rPr>
        <w:t>.</w:t>
      </w:r>
    </w:p>
    <w:p w14:paraId="1E60308A" w14:textId="77777777" w:rsidR="003807FD" w:rsidRPr="003807FD" w:rsidRDefault="003807FD" w:rsidP="003807FD">
      <w:pPr>
        <w:pStyle w:val="ListParagraph"/>
        <w:numPr>
          <w:ilvl w:val="0"/>
          <w:numId w:val="11"/>
        </w:numPr>
        <w:rPr>
          <w:bCs/>
        </w:rPr>
      </w:pPr>
      <w:r>
        <w:rPr>
          <w:bCs/>
        </w:rPr>
        <w:t xml:space="preserve">Szaflarski JP, Gloss D, Binder JR. et al.   </w:t>
      </w:r>
      <w:r w:rsidRPr="003807FD">
        <w:rPr>
          <w:bCs/>
        </w:rPr>
        <w:t>Practice guideline summary: Use of fMRI in the</w:t>
      </w:r>
    </w:p>
    <w:p w14:paraId="4A06C8A7" w14:textId="0DEC5974" w:rsidR="003807FD" w:rsidRDefault="003807FD" w:rsidP="00AB2761">
      <w:pPr>
        <w:pStyle w:val="ListParagraph"/>
        <w:ind w:left="360"/>
      </w:pPr>
      <w:r w:rsidRPr="003807FD">
        <w:rPr>
          <w:bCs/>
        </w:rPr>
        <w:t>presurgical evaluation of patients with epilepsy.</w:t>
      </w:r>
      <w:r w:rsidR="001C19E2">
        <w:rPr>
          <w:bCs/>
        </w:rPr>
        <w:t xml:space="preserve"> </w:t>
      </w:r>
      <w:r w:rsidRPr="003807FD">
        <w:rPr>
          <w:bCs/>
        </w:rPr>
        <w:t>Report of the Guideline Development, Dissemination, and</w:t>
      </w:r>
      <w:r w:rsidRPr="00016427">
        <w:rPr>
          <w:bCs/>
        </w:rPr>
        <w:t xml:space="preserve"> Implementation Subcommittee of the American Academy of Neurology</w:t>
      </w:r>
      <w:r w:rsidR="00016427">
        <w:rPr>
          <w:bCs/>
        </w:rPr>
        <w:t xml:space="preserve">.  </w:t>
      </w:r>
      <w:r w:rsidR="00016427" w:rsidRPr="00016427">
        <w:rPr>
          <w:bCs/>
        </w:rPr>
        <w:t>Neurology 2017;88:395–402</w:t>
      </w:r>
    </w:p>
    <w:p w14:paraId="2DA54220" w14:textId="77777777" w:rsidR="00963062" w:rsidRPr="00963062" w:rsidRDefault="00963062" w:rsidP="00963062"/>
    <w:p w14:paraId="37E68DEE" w14:textId="77777777" w:rsidR="000401B4" w:rsidRDefault="000401B4" w:rsidP="000401B4">
      <w:pPr>
        <w:rPr>
          <w:rFonts w:eastAsiaTheme="minorHAnsi"/>
          <w:b/>
          <w:u w:val="single"/>
        </w:rPr>
      </w:pPr>
      <w:bookmarkStart w:id="3" w:name="Important_Reminder"/>
      <w:r>
        <w:rPr>
          <w:rFonts w:eastAsiaTheme="minorHAnsi"/>
          <w:b/>
          <w:bCs/>
          <w:u w:val="single"/>
        </w:rPr>
        <w:t>Important Reminder</w:t>
      </w:r>
    </w:p>
    <w:bookmarkEnd w:id="3"/>
    <w:p w14:paraId="22DFC82B" w14:textId="77777777" w:rsidR="000401B4" w:rsidRDefault="000401B4" w:rsidP="000401B4">
      <w:pPr>
        <w:rPr>
          <w:rFonts w:eastAsiaTheme="minorHAnsi"/>
        </w:rPr>
      </w:pPr>
      <w:r>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Pr>
          <w:rFonts w:eastAsiaTheme="minorHAnsi"/>
          <w:iCs/>
        </w:rPr>
        <w:t>The Health Plan</w:t>
      </w:r>
      <w:r>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7E0ED1E4" w14:textId="77777777" w:rsidR="000401B4" w:rsidRDefault="000401B4" w:rsidP="000401B4">
      <w:pPr>
        <w:rPr>
          <w:rFonts w:eastAsiaTheme="minorHAnsi"/>
        </w:rPr>
      </w:pPr>
    </w:p>
    <w:p w14:paraId="1997017B" w14:textId="77777777" w:rsidR="000401B4" w:rsidRDefault="000401B4" w:rsidP="000401B4">
      <w:pPr>
        <w:rPr>
          <w:rFonts w:eastAsiaTheme="minorHAnsi"/>
        </w:rPr>
      </w:pPr>
      <w:r>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12083A8" w14:textId="77777777" w:rsidR="000401B4" w:rsidRDefault="000401B4" w:rsidP="000401B4">
      <w:pPr>
        <w:rPr>
          <w:rFonts w:eastAsiaTheme="minorHAnsi"/>
        </w:rPr>
      </w:pPr>
    </w:p>
    <w:p w14:paraId="676791CE" w14:textId="77777777" w:rsidR="000401B4" w:rsidRDefault="000401B4" w:rsidP="000401B4">
      <w:pPr>
        <w:rPr>
          <w:color w:val="002868"/>
        </w:rPr>
      </w:pPr>
      <w:r>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0B517A82" w14:textId="77777777" w:rsidR="000401B4" w:rsidRDefault="000401B4" w:rsidP="000401B4">
      <w:pPr>
        <w:rPr>
          <w:rFonts w:eastAsiaTheme="minorHAnsi"/>
        </w:rPr>
      </w:pPr>
    </w:p>
    <w:p w14:paraId="4FD58B91" w14:textId="77777777" w:rsidR="000401B4" w:rsidRDefault="000401B4" w:rsidP="000401B4">
      <w:pPr>
        <w:rPr>
          <w:rFonts w:eastAsiaTheme="minorHAnsi"/>
        </w:rPr>
      </w:pPr>
      <w:r>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w:t>
      </w:r>
      <w:r>
        <w:rPr>
          <w:rFonts w:eastAsiaTheme="minorHAnsi"/>
        </w:rPr>
        <w:lastRenderedPageBreak/>
        <w:t xml:space="preserve">recommend treatment for members. Members should consult with their treating physician in connection with diagnosis and treatment decisions. </w:t>
      </w:r>
    </w:p>
    <w:p w14:paraId="4E58184F" w14:textId="77777777" w:rsidR="000401B4" w:rsidRDefault="000401B4" w:rsidP="000401B4">
      <w:pPr>
        <w:rPr>
          <w:rFonts w:eastAsiaTheme="minorHAnsi"/>
        </w:rPr>
      </w:pPr>
    </w:p>
    <w:p w14:paraId="24A9785A" w14:textId="77777777" w:rsidR="000401B4" w:rsidRDefault="000401B4" w:rsidP="000401B4">
      <w:pPr>
        <w:rPr>
          <w:rFonts w:eastAsiaTheme="minorHAnsi"/>
        </w:rPr>
      </w:pPr>
      <w:r>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147ACC85" w14:textId="77777777" w:rsidR="000401B4" w:rsidRDefault="000401B4" w:rsidP="000401B4">
      <w:pPr>
        <w:rPr>
          <w:rFonts w:eastAsiaTheme="minorHAnsi"/>
        </w:rPr>
      </w:pPr>
    </w:p>
    <w:p w14:paraId="4604CA28" w14:textId="77777777" w:rsidR="000401B4" w:rsidRDefault="000401B4" w:rsidP="000401B4">
      <w:pPr>
        <w:rPr>
          <w:rFonts w:eastAsiaTheme="minorHAnsi"/>
        </w:rPr>
      </w:pPr>
      <w:r>
        <w:rPr>
          <w:rFonts w:eastAsiaTheme="minorHAnsi"/>
        </w:rPr>
        <w:t xml:space="preserve">This clinical policy is the property of </w:t>
      </w:r>
      <w:r>
        <w:rPr>
          <w:rFonts w:eastAsiaTheme="minorHAnsi"/>
          <w:iCs/>
        </w:rPr>
        <w:t>the Health Plan</w:t>
      </w:r>
      <w:r>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40CC3114" w14:textId="77777777" w:rsidR="000401B4" w:rsidRDefault="000401B4" w:rsidP="000401B4">
      <w:pPr>
        <w:autoSpaceDE w:val="0"/>
        <w:autoSpaceDN w:val="0"/>
        <w:adjustRightInd w:val="0"/>
        <w:rPr>
          <w:rFonts w:eastAsiaTheme="minorHAnsi"/>
          <w:color w:val="000000"/>
        </w:rPr>
      </w:pPr>
    </w:p>
    <w:p w14:paraId="7483B038" w14:textId="77777777" w:rsidR="000401B4" w:rsidRDefault="000401B4" w:rsidP="000401B4">
      <w:pPr>
        <w:autoSpaceDE w:val="0"/>
        <w:autoSpaceDN w:val="0"/>
        <w:adjustRightInd w:val="0"/>
        <w:rPr>
          <w:rFonts w:eastAsiaTheme="minorHAnsi"/>
          <w:color w:val="000000"/>
        </w:rPr>
      </w:pPr>
      <w:r>
        <w:rPr>
          <w:rFonts w:eastAsiaTheme="minorHAnsi"/>
          <w:b/>
          <w:color w:val="000000"/>
        </w:rPr>
        <w:t>Note: For Medicaid members</w:t>
      </w:r>
      <w:r>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7B0C3A05" w14:textId="77777777" w:rsidR="000401B4" w:rsidRDefault="000401B4" w:rsidP="000401B4">
      <w:pPr>
        <w:rPr>
          <w:rFonts w:eastAsiaTheme="minorHAnsi"/>
        </w:rPr>
      </w:pPr>
    </w:p>
    <w:p w14:paraId="1F1ABE64" w14:textId="77777777" w:rsidR="000401B4" w:rsidRDefault="000401B4" w:rsidP="000401B4">
      <w:pPr>
        <w:autoSpaceDE w:val="0"/>
        <w:autoSpaceDN w:val="0"/>
        <w:adjustRightInd w:val="0"/>
        <w:rPr>
          <w:color w:val="000000"/>
        </w:rPr>
      </w:pPr>
      <w:r>
        <w:rPr>
          <w:rFonts w:eastAsiaTheme="minorHAnsi"/>
          <w:b/>
          <w:bCs/>
          <w:color w:val="000000"/>
        </w:rPr>
        <w:t xml:space="preserve">Note: For Medicare members, </w:t>
      </w:r>
      <w:r>
        <w:rPr>
          <w:rFonts w:eastAsiaTheme="minorHAnsi"/>
          <w:color w:val="000000"/>
        </w:rPr>
        <w:t xml:space="preserve">to ensure consistency with the Medicare National Coverage Determinations (NCD) and Local Coverage Determinations (LCD), all applicable NCDs, LCDs, and Medicare Coverage Articles should be reviewed </w:t>
      </w:r>
      <w:r>
        <w:rPr>
          <w:rFonts w:eastAsiaTheme="minorHAnsi"/>
          <w:color w:val="000000"/>
          <w:u w:val="single"/>
        </w:rPr>
        <w:t>prior to</w:t>
      </w:r>
      <w:r>
        <w:rPr>
          <w:rFonts w:eastAsiaTheme="minorHAnsi"/>
          <w:color w:val="000000"/>
        </w:rPr>
        <w:t xml:space="preserve"> applying the criteria set forth in this clinical policy. Refer to the CMS website at </w:t>
      </w:r>
      <w:hyperlink r:id="rId15" w:history="1">
        <w:r>
          <w:rPr>
            <w:rStyle w:val="Hyperlink"/>
            <w:rFonts w:eastAsiaTheme="minorHAnsi"/>
            <w:color w:val="000000"/>
          </w:rPr>
          <w:t>http://www.cms.gov</w:t>
        </w:r>
      </w:hyperlink>
      <w:r>
        <w:rPr>
          <w:rFonts w:eastAsiaTheme="minorHAnsi"/>
          <w:color w:val="000000"/>
        </w:rPr>
        <w:t xml:space="preserve"> for additional information.</w:t>
      </w:r>
      <w:r>
        <w:rPr>
          <w:color w:val="000000"/>
        </w:rPr>
        <w:t xml:space="preserve"> </w:t>
      </w:r>
    </w:p>
    <w:p w14:paraId="6006BD72" w14:textId="77777777" w:rsidR="000401B4" w:rsidRDefault="000401B4" w:rsidP="000401B4">
      <w:pPr>
        <w:rPr>
          <w:iCs/>
        </w:rPr>
      </w:pPr>
    </w:p>
    <w:p w14:paraId="7D9EA450" w14:textId="77777777" w:rsidR="000401B4" w:rsidRDefault="000401B4" w:rsidP="000401B4">
      <w:pPr>
        <w:rPr>
          <w:iCs/>
        </w:rPr>
      </w:pPr>
      <w:r>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Pr>
          <w:iCs/>
          <w:vertAlign w:val="superscript"/>
        </w:rPr>
        <w:t>®</w:t>
      </w:r>
      <w:r>
        <w:rPr>
          <w:iCs/>
        </w:rPr>
        <w:t xml:space="preserve"> and Centene Corporation</w:t>
      </w:r>
      <w:r>
        <w:rPr>
          <w:iCs/>
          <w:vertAlign w:val="superscript"/>
        </w:rPr>
        <w:t>®</w:t>
      </w:r>
      <w:r>
        <w:rPr>
          <w:iCs/>
        </w:rPr>
        <w:t xml:space="preserve"> are registered trademarks exclusively owned by Centene Corporation.</w:t>
      </w:r>
    </w:p>
    <w:p w14:paraId="4A129277" w14:textId="77777777" w:rsidR="000401B4" w:rsidRDefault="000401B4" w:rsidP="000401B4"/>
    <w:p w14:paraId="4589AD61" w14:textId="77777777"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D7F4" w14:textId="77777777" w:rsidR="00D64944" w:rsidRDefault="00D64944">
      <w:r>
        <w:separator/>
      </w:r>
    </w:p>
  </w:endnote>
  <w:endnote w:type="continuationSeparator" w:id="0">
    <w:p w14:paraId="36699FE6" w14:textId="77777777" w:rsidR="00D64944" w:rsidRDefault="00D6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61B" w14:textId="4F951A2B"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D5758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5758E">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1BB1D" w14:textId="36CAF22F" w:rsidR="002C6AAB" w:rsidRDefault="002C6AAB" w:rsidP="002C6AAB">
    <w:pPr>
      <w:pStyle w:val="Footer"/>
      <w:jc w:val="center"/>
    </w:pPr>
    <w:r>
      <w:t xml:space="preserve">Page </w:t>
    </w:r>
    <w:r>
      <w:fldChar w:fldCharType="begin"/>
    </w:r>
    <w:r>
      <w:instrText xml:space="preserve"> PAGE   \* MERGEFORMAT </w:instrText>
    </w:r>
    <w:r>
      <w:fldChar w:fldCharType="separate"/>
    </w:r>
    <w:r w:rsidR="00D5758E">
      <w:rPr>
        <w:noProof/>
      </w:rPr>
      <w:t>1</w:t>
    </w:r>
    <w:r>
      <w:fldChar w:fldCharType="end"/>
    </w:r>
    <w:r>
      <w:t xml:space="preserve"> of </w:t>
    </w:r>
    <w:r w:rsidR="009D6B53">
      <w:rPr>
        <w:noProof/>
      </w:rPr>
      <w:fldChar w:fldCharType="begin"/>
    </w:r>
    <w:r w:rsidR="009D6B53">
      <w:rPr>
        <w:noProof/>
      </w:rPr>
      <w:instrText xml:space="preserve"> NUMPAGES   \* MERGEFORMAT </w:instrText>
    </w:r>
    <w:r w:rsidR="009D6B53">
      <w:rPr>
        <w:noProof/>
      </w:rPr>
      <w:fldChar w:fldCharType="separate"/>
    </w:r>
    <w:r w:rsidR="00D5758E">
      <w:rPr>
        <w:noProof/>
      </w:rPr>
      <w:t>6</w:t>
    </w:r>
    <w:r w:rsidR="009D6B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5C84D" w14:textId="77777777" w:rsidR="00D64944" w:rsidRDefault="00D64944">
      <w:r>
        <w:separator/>
      </w:r>
    </w:p>
  </w:footnote>
  <w:footnote w:type="continuationSeparator" w:id="0">
    <w:p w14:paraId="6D0D3B75" w14:textId="77777777" w:rsidR="00D64944" w:rsidRDefault="00D6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3A60"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030FC4">
      <w:rPr>
        <w:noProof/>
        <w:color w:val="00548C"/>
      </w:rPr>
      <w:drawing>
        <wp:inline distT="0" distB="0" distL="0" distR="0" wp14:anchorId="631CAA81" wp14:editId="5DC60CA6">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275F57EF" w14:textId="77777777" w:rsidR="00DD025A" w:rsidRPr="00B777AF" w:rsidRDefault="00431B54" w:rsidP="00B777AF">
    <w:pPr>
      <w:rPr>
        <w:color w:val="00548C"/>
      </w:rPr>
    </w:pPr>
    <w:r>
      <w:rPr>
        <w:rFonts w:ascii="Times New Roman Bold" w:hAnsi="Times New Roman Bold"/>
        <w:b/>
        <w:bCs/>
        <w:color w:val="00548C"/>
      </w:rPr>
      <w:t>Functional MRI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AD7D" w14:textId="77777777" w:rsidR="009135E0" w:rsidRDefault="00030FC4" w:rsidP="00B777AF">
    <w:pPr>
      <w:pStyle w:val="Header"/>
      <w:jc w:val="right"/>
    </w:pPr>
    <w:r>
      <w:rPr>
        <w:noProof/>
      </w:rPr>
      <w:drawing>
        <wp:inline distT="0" distB="0" distL="0" distR="0" wp14:anchorId="11E02AD4" wp14:editId="5FD7B76B">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95592"/>
    <w:multiLevelType w:val="hybridMultilevel"/>
    <w:tmpl w:val="F27E7D3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2140CA"/>
    <w:multiLevelType w:val="hybridMultilevel"/>
    <w:tmpl w:val="76F04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AD7CAE"/>
    <w:multiLevelType w:val="hybridMultilevel"/>
    <w:tmpl w:val="D0D87EEA"/>
    <w:lvl w:ilvl="0" w:tplc="6BAC0802">
      <w:start w:val="1"/>
      <w:numFmt w:val="upperRoman"/>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C00D2"/>
    <w:multiLevelType w:val="hybridMultilevel"/>
    <w:tmpl w:val="733E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
  </w:num>
  <w:num w:numId="4">
    <w:abstractNumId w:val="4"/>
  </w:num>
  <w:num w:numId="5">
    <w:abstractNumId w:val="5"/>
  </w:num>
  <w:num w:numId="6">
    <w:abstractNumId w:val="9"/>
  </w:num>
  <w:num w:numId="7">
    <w:abstractNumId w:val="10"/>
  </w:num>
  <w:num w:numId="8">
    <w:abstractNumId w:val="1"/>
  </w:num>
  <w:num w:numId="9">
    <w:abstractNumId w:val="3"/>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16427"/>
    <w:rsid w:val="00030FC4"/>
    <w:rsid w:val="00034DA7"/>
    <w:rsid w:val="00035EFB"/>
    <w:rsid w:val="000401B4"/>
    <w:rsid w:val="000465DE"/>
    <w:rsid w:val="0004733E"/>
    <w:rsid w:val="00060509"/>
    <w:rsid w:val="00083740"/>
    <w:rsid w:val="000A7F04"/>
    <w:rsid w:val="000F10C2"/>
    <w:rsid w:val="00100D70"/>
    <w:rsid w:val="0014316D"/>
    <w:rsid w:val="00170B14"/>
    <w:rsid w:val="00171704"/>
    <w:rsid w:val="001818D7"/>
    <w:rsid w:val="00185104"/>
    <w:rsid w:val="001962BE"/>
    <w:rsid w:val="00196689"/>
    <w:rsid w:val="00196935"/>
    <w:rsid w:val="0019746F"/>
    <w:rsid w:val="001B45B4"/>
    <w:rsid w:val="001C19E2"/>
    <w:rsid w:val="001C22E5"/>
    <w:rsid w:val="001C5149"/>
    <w:rsid w:val="001D0D34"/>
    <w:rsid w:val="001D70D4"/>
    <w:rsid w:val="001D7CC7"/>
    <w:rsid w:val="001E7D12"/>
    <w:rsid w:val="0020675F"/>
    <w:rsid w:val="00212B79"/>
    <w:rsid w:val="00220736"/>
    <w:rsid w:val="0022533E"/>
    <w:rsid w:val="00230FE4"/>
    <w:rsid w:val="00233651"/>
    <w:rsid w:val="00247A1D"/>
    <w:rsid w:val="00254020"/>
    <w:rsid w:val="0025452A"/>
    <w:rsid w:val="00285997"/>
    <w:rsid w:val="002A39EE"/>
    <w:rsid w:val="002C21A4"/>
    <w:rsid w:val="002C6AAB"/>
    <w:rsid w:val="002D019A"/>
    <w:rsid w:val="002E48E7"/>
    <w:rsid w:val="003140D6"/>
    <w:rsid w:val="00350F22"/>
    <w:rsid w:val="003807FD"/>
    <w:rsid w:val="003840CC"/>
    <w:rsid w:val="00392A0E"/>
    <w:rsid w:val="003A02A9"/>
    <w:rsid w:val="003D7BE7"/>
    <w:rsid w:val="003F13D6"/>
    <w:rsid w:val="00410977"/>
    <w:rsid w:val="00431B54"/>
    <w:rsid w:val="004713C6"/>
    <w:rsid w:val="00472C6C"/>
    <w:rsid w:val="00480C09"/>
    <w:rsid w:val="00496BCF"/>
    <w:rsid w:val="00497AED"/>
    <w:rsid w:val="004E0B99"/>
    <w:rsid w:val="004F117E"/>
    <w:rsid w:val="004F6394"/>
    <w:rsid w:val="00505830"/>
    <w:rsid w:val="00507F30"/>
    <w:rsid w:val="005103B8"/>
    <w:rsid w:val="005423D4"/>
    <w:rsid w:val="00546E57"/>
    <w:rsid w:val="005537B0"/>
    <w:rsid w:val="005567EA"/>
    <w:rsid w:val="00575067"/>
    <w:rsid w:val="005776FD"/>
    <w:rsid w:val="00583376"/>
    <w:rsid w:val="00583E2C"/>
    <w:rsid w:val="0058690F"/>
    <w:rsid w:val="005C17DF"/>
    <w:rsid w:val="005C3607"/>
    <w:rsid w:val="005D009F"/>
    <w:rsid w:val="005D5146"/>
    <w:rsid w:val="005E1D82"/>
    <w:rsid w:val="005E411E"/>
    <w:rsid w:val="00605A9E"/>
    <w:rsid w:val="006206FB"/>
    <w:rsid w:val="0063204A"/>
    <w:rsid w:val="006474BB"/>
    <w:rsid w:val="006664E9"/>
    <w:rsid w:val="0067583D"/>
    <w:rsid w:val="006964C1"/>
    <w:rsid w:val="006B3E27"/>
    <w:rsid w:val="006C74DF"/>
    <w:rsid w:val="006D009A"/>
    <w:rsid w:val="006E6EE8"/>
    <w:rsid w:val="006F4D70"/>
    <w:rsid w:val="00701134"/>
    <w:rsid w:val="00744250"/>
    <w:rsid w:val="007764CE"/>
    <w:rsid w:val="0078203E"/>
    <w:rsid w:val="007A0BCC"/>
    <w:rsid w:val="007A0C6C"/>
    <w:rsid w:val="007B07AE"/>
    <w:rsid w:val="007B50D0"/>
    <w:rsid w:val="007D4801"/>
    <w:rsid w:val="007F1F19"/>
    <w:rsid w:val="00804F34"/>
    <w:rsid w:val="00826E4A"/>
    <w:rsid w:val="00857C10"/>
    <w:rsid w:val="00875924"/>
    <w:rsid w:val="00877EC7"/>
    <w:rsid w:val="00896E94"/>
    <w:rsid w:val="008B0705"/>
    <w:rsid w:val="008B3FF4"/>
    <w:rsid w:val="008C6B3A"/>
    <w:rsid w:val="008F45D4"/>
    <w:rsid w:val="00902C9B"/>
    <w:rsid w:val="00902E3D"/>
    <w:rsid w:val="00907577"/>
    <w:rsid w:val="009135E0"/>
    <w:rsid w:val="00915CA4"/>
    <w:rsid w:val="00943014"/>
    <w:rsid w:val="00961071"/>
    <w:rsid w:val="00963062"/>
    <w:rsid w:val="00963365"/>
    <w:rsid w:val="009735FA"/>
    <w:rsid w:val="00977ECA"/>
    <w:rsid w:val="00982180"/>
    <w:rsid w:val="009928B2"/>
    <w:rsid w:val="009C55E9"/>
    <w:rsid w:val="009C61B2"/>
    <w:rsid w:val="009D1A03"/>
    <w:rsid w:val="009D6B53"/>
    <w:rsid w:val="009E6F29"/>
    <w:rsid w:val="00A05215"/>
    <w:rsid w:val="00A41969"/>
    <w:rsid w:val="00A60413"/>
    <w:rsid w:val="00A75C72"/>
    <w:rsid w:val="00A83658"/>
    <w:rsid w:val="00A85489"/>
    <w:rsid w:val="00A87B1F"/>
    <w:rsid w:val="00AA336E"/>
    <w:rsid w:val="00AA428E"/>
    <w:rsid w:val="00AB2761"/>
    <w:rsid w:val="00AB4EA7"/>
    <w:rsid w:val="00AD1AA6"/>
    <w:rsid w:val="00AE02E9"/>
    <w:rsid w:val="00AF1F2A"/>
    <w:rsid w:val="00AF30EF"/>
    <w:rsid w:val="00AF5490"/>
    <w:rsid w:val="00AF773E"/>
    <w:rsid w:val="00B03F63"/>
    <w:rsid w:val="00B4633B"/>
    <w:rsid w:val="00B777AF"/>
    <w:rsid w:val="00B81789"/>
    <w:rsid w:val="00B92DF1"/>
    <w:rsid w:val="00BB1170"/>
    <w:rsid w:val="00BF4150"/>
    <w:rsid w:val="00C079B0"/>
    <w:rsid w:val="00C1382D"/>
    <w:rsid w:val="00C14250"/>
    <w:rsid w:val="00C2297C"/>
    <w:rsid w:val="00C64BB4"/>
    <w:rsid w:val="00C73CF5"/>
    <w:rsid w:val="00C75BD4"/>
    <w:rsid w:val="00CA53B9"/>
    <w:rsid w:val="00CA5C08"/>
    <w:rsid w:val="00CD24F6"/>
    <w:rsid w:val="00CF2624"/>
    <w:rsid w:val="00D36448"/>
    <w:rsid w:val="00D46E25"/>
    <w:rsid w:val="00D574CA"/>
    <w:rsid w:val="00D5758E"/>
    <w:rsid w:val="00D64944"/>
    <w:rsid w:val="00D71BC4"/>
    <w:rsid w:val="00D9294C"/>
    <w:rsid w:val="00DB1DE9"/>
    <w:rsid w:val="00DB2482"/>
    <w:rsid w:val="00DB2E57"/>
    <w:rsid w:val="00DC7812"/>
    <w:rsid w:val="00DD025A"/>
    <w:rsid w:val="00DD6A80"/>
    <w:rsid w:val="00DD7D7A"/>
    <w:rsid w:val="00DE18E2"/>
    <w:rsid w:val="00E17C60"/>
    <w:rsid w:val="00E5451A"/>
    <w:rsid w:val="00E9133F"/>
    <w:rsid w:val="00E97C17"/>
    <w:rsid w:val="00EA3809"/>
    <w:rsid w:val="00ED0A0D"/>
    <w:rsid w:val="00F03DC0"/>
    <w:rsid w:val="00F2705D"/>
    <w:rsid w:val="00F32CA4"/>
    <w:rsid w:val="00F422E1"/>
    <w:rsid w:val="00F71F8E"/>
    <w:rsid w:val="00F74762"/>
    <w:rsid w:val="00F95133"/>
    <w:rsid w:val="00F95B01"/>
    <w:rsid w:val="00FB0592"/>
    <w:rsid w:val="00FB139B"/>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4:docId w14:val="2C4B6C7E"/>
  <w15:docId w15:val="{66C5692D-CD8D-46E5-BA1E-C3F12D5E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B54"/>
    <w:pPr>
      <w:ind w:left="720"/>
      <w:contextualSpacing/>
    </w:pPr>
  </w:style>
  <w:style w:type="character" w:styleId="CommentReference">
    <w:name w:val="annotation reference"/>
    <w:basedOn w:val="DefaultParagraphFont"/>
    <w:semiHidden/>
    <w:unhideWhenUsed/>
    <w:rsid w:val="005567EA"/>
    <w:rPr>
      <w:sz w:val="16"/>
      <w:szCs w:val="16"/>
    </w:rPr>
  </w:style>
  <w:style w:type="paragraph" w:styleId="CommentText">
    <w:name w:val="annotation text"/>
    <w:basedOn w:val="Normal"/>
    <w:link w:val="CommentTextChar"/>
    <w:semiHidden/>
    <w:unhideWhenUsed/>
    <w:rsid w:val="005567EA"/>
    <w:rPr>
      <w:sz w:val="20"/>
      <w:szCs w:val="20"/>
    </w:rPr>
  </w:style>
  <w:style w:type="character" w:customStyle="1" w:styleId="CommentTextChar">
    <w:name w:val="Comment Text Char"/>
    <w:basedOn w:val="DefaultParagraphFont"/>
    <w:link w:val="CommentText"/>
    <w:semiHidden/>
    <w:rsid w:val="005567EA"/>
  </w:style>
  <w:style w:type="paragraph" w:styleId="CommentSubject">
    <w:name w:val="annotation subject"/>
    <w:basedOn w:val="CommentText"/>
    <w:next w:val="CommentText"/>
    <w:link w:val="CommentSubjectChar"/>
    <w:semiHidden/>
    <w:unhideWhenUsed/>
    <w:rsid w:val="005567EA"/>
    <w:rPr>
      <w:b/>
      <w:bCs/>
    </w:rPr>
  </w:style>
  <w:style w:type="character" w:customStyle="1" w:styleId="CommentSubjectChar">
    <w:name w:val="Comment Subject Char"/>
    <w:basedOn w:val="CommentTextChar"/>
    <w:link w:val="CommentSubject"/>
    <w:semiHidden/>
    <w:rsid w:val="00556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4289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m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6B7D7-0271-469F-B7F4-701488E93C8E}">
  <ds:schemaRefs>
    <ds:schemaRef ds:uri="http://schemas.microsoft.com/sharepoint/v3/contenttype/forms"/>
  </ds:schemaRefs>
</ds:datastoreItem>
</file>

<file path=customXml/itemProps2.xml><?xml version="1.0" encoding="utf-8"?>
<ds:datastoreItem xmlns:ds="http://schemas.openxmlformats.org/officeDocument/2006/customXml" ds:itemID="{7C71054A-64BB-4440-9523-ED05D8124429}">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65E04AF-FABE-47B9-84A5-B37BB0C2E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B1C9EA-F0BA-4ACE-ACA2-C59A858B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2375</Words>
  <Characters>14341</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2019-09-04T21:14:00Z</cp:lastPrinted>
  <dcterms:created xsi:type="dcterms:W3CDTF">2019-09-25T19:23:00Z</dcterms:created>
  <dcterms:modified xsi:type="dcterms:W3CDTF">2019-09-25T19:23:00Z</dcterms:modified>
</cp:coreProperties>
</file>