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1297"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301D97">
        <w:rPr>
          <w:rFonts w:ascii="Times New Roman" w:hAnsi="Times New Roman"/>
          <w:color w:val="00548C"/>
          <w:sz w:val="36"/>
        </w:rPr>
        <w:t>Gastric Elect</w:t>
      </w:r>
      <w:r w:rsidR="00763D6A">
        <w:rPr>
          <w:rFonts w:ascii="Times New Roman" w:hAnsi="Times New Roman"/>
          <w:color w:val="00548C"/>
          <w:sz w:val="36"/>
        </w:rPr>
        <w:t>r</w:t>
      </w:r>
      <w:r w:rsidR="00301D97">
        <w:rPr>
          <w:rFonts w:ascii="Times New Roman" w:hAnsi="Times New Roman"/>
          <w:color w:val="00548C"/>
          <w:sz w:val="36"/>
        </w:rPr>
        <w:t>ical Stimulation</w:t>
      </w:r>
    </w:p>
    <w:p w14:paraId="504B1298"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504B1299" w14:textId="77777777" w:rsidR="007A38E1" w:rsidRPr="003D7BE7" w:rsidRDefault="00D574CA" w:rsidP="007A38E1">
      <w:pPr>
        <w:pStyle w:val="PolicyMainHead"/>
        <w:tabs>
          <w:tab w:val="left" w:pos="360"/>
        </w:tabs>
        <w:spacing w:after="0" w:line="240" w:lineRule="auto"/>
        <w:rPr>
          <w:rFonts w:ascii="Times New Roman" w:hAnsi="Times New Roman"/>
          <w:color w:val="00548C"/>
          <w:sz w:val="24"/>
          <w:szCs w:val="24"/>
        </w:rPr>
        <w:sectPr w:rsidR="007A38E1"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301D97">
        <w:rPr>
          <w:rFonts w:ascii="Times New Roman" w:hAnsi="Times New Roman"/>
          <w:color w:val="00548C"/>
          <w:sz w:val="24"/>
          <w:szCs w:val="24"/>
        </w:rPr>
        <w:t>MP.40</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7A38E1">
        <w:rPr>
          <w:rFonts w:ascii="Times New Roman" w:hAnsi="Times New Roman"/>
          <w:color w:val="00548C"/>
          <w:sz w:val="24"/>
          <w:szCs w:val="24"/>
        </w:rPr>
        <w:t xml:space="preserve">     </w:t>
      </w:r>
      <w:hyperlink w:anchor="Coding_Implications" w:history="1">
        <w:r w:rsidR="007A38E1" w:rsidRPr="00875924">
          <w:rPr>
            <w:rStyle w:val="Hyperlink"/>
            <w:rFonts w:ascii="Times New Roman" w:hAnsi="Times New Roman"/>
            <w:sz w:val="24"/>
            <w:szCs w:val="24"/>
          </w:rPr>
          <w:t>Coding Implications</w:t>
        </w:r>
      </w:hyperlink>
      <w:r w:rsidR="007A38E1" w:rsidRPr="003D7BE7">
        <w:rPr>
          <w:rFonts w:ascii="Times New Roman" w:hAnsi="Times New Roman"/>
          <w:color w:val="00548C"/>
          <w:sz w:val="24"/>
          <w:szCs w:val="24"/>
        </w:rPr>
        <w:t xml:space="preserve"> </w:t>
      </w:r>
    </w:p>
    <w:p w14:paraId="504B129A" w14:textId="24809B6F" w:rsidR="007A38E1" w:rsidRDefault="007A38E1" w:rsidP="007A38E1">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914351">
        <w:rPr>
          <w:rFonts w:ascii="Times New Roman" w:hAnsi="Times New Roman"/>
          <w:color w:val="00548C"/>
          <w:sz w:val="24"/>
          <w:szCs w:val="24"/>
        </w:rPr>
        <w:t>0</w:t>
      </w:r>
      <w:r w:rsidR="00D145A0">
        <w:rPr>
          <w:rFonts w:ascii="Times New Roman" w:hAnsi="Times New Roman"/>
          <w:color w:val="00548C"/>
          <w:sz w:val="24"/>
          <w:szCs w:val="24"/>
        </w:rPr>
        <w:t>9</w:t>
      </w:r>
      <w:r>
        <w:rPr>
          <w:rFonts w:ascii="Times New Roman" w:hAnsi="Times New Roman"/>
          <w:color w:val="00548C"/>
          <w:sz w:val="24"/>
          <w:szCs w:val="24"/>
        </w:rPr>
        <w:t>/1</w:t>
      </w:r>
      <w:r w:rsidR="00D145A0">
        <w:rPr>
          <w:rFonts w:ascii="Times New Roman" w:hAnsi="Times New Roman"/>
          <w:color w:val="00548C"/>
          <w:sz w:val="24"/>
          <w:szCs w:val="24"/>
        </w:rPr>
        <w:t>9</w:t>
      </w:r>
    </w:p>
    <w:p w14:paraId="504B129B" w14:textId="77777777" w:rsidR="007A38E1" w:rsidRDefault="009F1AE4" w:rsidP="007A38E1">
      <w:pPr>
        <w:pStyle w:val="PolicyMainHead"/>
        <w:tabs>
          <w:tab w:val="left" w:pos="360"/>
        </w:tabs>
        <w:spacing w:after="0" w:line="240" w:lineRule="auto"/>
        <w:jc w:val="right"/>
        <w:rPr>
          <w:rStyle w:val="Strong"/>
          <w:rFonts w:ascii="Times New Roman" w:hAnsi="Times New Roman"/>
          <w:b w:val="0"/>
          <w:bCs w:val="0"/>
          <w:u w:val="single"/>
        </w:rPr>
        <w:sectPr w:rsidR="007A38E1" w:rsidSect="00875924">
          <w:type w:val="continuous"/>
          <w:pgSz w:w="12240" w:h="15840" w:code="1"/>
          <w:pgMar w:top="1440" w:right="1170" w:bottom="1440" w:left="1440" w:header="576" w:footer="288" w:gutter="0"/>
          <w:cols w:num="2" w:space="720"/>
          <w:titlePg/>
          <w:docGrid w:linePitch="360"/>
        </w:sectPr>
      </w:pPr>
      <w:hyperlink w:anchor="Revision_Log" w:history="1">
        <w:r w:rsidR="007A38E1" w:rsidRPr="003D7BE7">
          <w:rPr>
            <w:rStyle w:val="Hyperlink"/>
            <w:rFonts w:ascii="Times New Roman" w:hAnsi="Times New Roman"/>
            <w:sz w:val="24"/>
            <w:szCs w:val="24"/>
          </w:rPr>
          <w:t>Revision Log</w:t>
        </w:r>
      </w:hyperlink>
      <w:r w:rsidR="007A38E1">
        <w:rPr>
          <w:rFonts w:ascii="Times New Roman" w:hAnsi="Times New Roman"/>
          <w:color w:val="00548C"/>
          <w:sz w:val="24"/>
          <w:szCs w:val="24"/>
        </w:rPr>
        <w:t xml:space="preserve"> </w:t>
      </w:r>
    </w:p>
    <w:p w14:paraId="504B129C"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504B129F" w14:textId="77777777" w:rsidR="006921D5" w:rsidRPr="006921D5" w:rsidRDefault="006921D5"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04B12A0" w14:textId="77777777" w:rsidR="006921D5" w:rsidRDefault="006921D5" w:rsidP="00D574CA">
      <w:pPr>
        <w:pStyle w:val="NormalWeb"/>
        <w:spacing w:before="0" w:beforeAutospacing="0" w:after="0" w:afterAutospacing="0"/>
        <w:rPr>
          <w:rStyle w:val="Strong"/>
          <w:rFonts w:ascii="Times New Roman" w:hAnsi="Times New Roman" w:cs="Times New Roman"/>
          <w:b w:val="0"/>
          <w:bCs w:val="0"/>
          <w:u w:val="single"/>
        </w:rPr>
      </w:pPr>
    </w:p>
    <w:p w14:paraId="504B12A1" w14:textId="77777777" w:rsidR="00583376" w:rsidRPr="002C720B" w:rsidRDefault="00583376" w:rsidP="002C720B">
      <w:pPr>
        <w:pStyle w:val="Heading1"/>
        <w:rPr>
          <w:sz w:val="24"/>
        </w:rPr>
      </w:pPr>
      <w:r w:rsidRPr="002C720B">
        <w:rPr>
          <w:sz w:val="24"/>
        </w:rPr>
        <w:t xml:space="preserve">Description </w:t>
      </w:r>
    </w:p>
    <w:p w14:paraId="504B12A2" w14:textId="630FE19D" w:rsidR="00ED0A0D" w:rsidRPr="00B777AF" w:rsidRDefault="001A587E" w:rsidP="00196935">
      <w:r>
        <w:t xml:space="preserve">Gastric electrical stimulation (GES) has been used in patients </w:t>
      </w:r>
      <w:r w:rsidR="00570B4D">
        <w:t>who are</w:t>
      </w:r>
      <w:r w:rsidR="00851934">
        <w:t xml:space="preserve"> proven</w:t>
      </w:r>
      <w:r w:rsidR="00570B4D">
        <w:t xml:space="preserve"> </w:t>
      </w:r>
      <w:r>
        <w:t>refractory to conventiona</w:t>
      </w:r>
      <w:r w:rsidR="00083266">
        <w:t xml:space="preserve">l treatment for gastroparesis. </w:t>
      </w:r>
      <w:r>
        <w:t xml:space="preserve">It can be used as an alternative to surgery to reduce some symptoms of gastroparesis.  </w:t>
      </w:r>
      <w:r w:rsidR="00F367AC">
        <w:t>Electrodes that are attached to the stomach wall</w:t>
      </w:r>
      <w:r w:rsidR="00543130">
        <w:t xml:space="preserve"> </w:t>
      </w:r>
      <w:r>
        <w:t>deliver timed electrical impulses t</w:t>
      </w:r>
      <w:r w:rsidR="00083266">
        <w:t>o trigger stomach contractions.</w:t>
      </w:r>
      <w:r>
        <w:t xml:space="preserve"> This stimulation has not shown a significant improvement in gastric emptying, but has </w:t>
      </w:r>
      <w:r w:rsidR="003A3708">
        <w:t xml:space="preserve">been </w:t>
      </w:r>
      <w:r>
        <w:t>shown to benefit those with nausea and vomiting as their main symptoms.</w:t>
      </w:r>
    </w:p>
    <w:p w14:paraId="504B12A3" w14:textId="77777777" w:rsidR="00ED0A0D" w:rsidRPr="00B777AF" w:rsidRDefault="00ED0A0D" w:rsidP="00196935"/>
    <w:p w14:paraId="504B12A4" w14:textId="77777777" w:rsidR="00583376" w:rsidRPr="00B777AF" w:rsidRDefault="00583376">
      <w:pPr>
        <w:pStyle w:val="Heading2"/>
        <w:rPr>
          <w:u w:val="none"/>
        </w:rPr>
      </w:pPr>
      <w:r w:rsidRPr="00B777AF">
        <w:rPr>
          <w:u w:val="none"/>
        </w:rPr>
        <w:t>Policy/Criteria</w:t>
      </w:r>
    </w:p>
    <w:p w14:paraId="504B12A5" w14:textId="77777777" w:rsidR="001A587E" w:rsidRDefault="001A587E" w:rsidP="001A587E">
      <w:pPr>
        <w:numPr>
          <w:ilvl w:val="0"/>
          <w:numId w:val="10"/>
        </w:numPr>
        <w:ind w:left="360"/>
        <w:rPr>
          <w:bCs/>
        </w:rPr>
      </w:pPr>
      <w:r>
        <w:rPr>
          <w:bCs/>
        </w:rPr>
        <w:t xml:space="preserve">It is the policy of health plans affiliated with Centene Corporation that GES is </w:t>
      </w:r>
      <w:r w:rsidRPr="00AD2802">
        <w:rPr>
          <w:b/>
          <w:bCs/>
        </w:rPr>
        <w:t>medically necessary</w:t>
      </w:r>
      <w:r>
        <w:rPr>
          <w:bCs/>
        </w:rPr>
        <w:t xml:space="preserve"> for diabetic and idiopathic gastroparesis when all of the following criteria are met:</w:t>
      </w:r>
    </w:p>
    <w:p w14:paraId="504B12A6" w14:textId="290A3D82" w:rsidR="00611AFA" w:rsidRPr="00706DEF" w:rsidRDefault="00611AFA" w:rsidP="001B3357">
      <w:pPr>
        <w:pStyle w:val="ListParagraph"/>
        <w:numPr>
          <w:ilvl w:val="0"/>
          <w:numId w:val="9"/>
        </w:numPr>
        <w:rPr>
          <w:bCs/>
        </w:rPr>
      </w:pPr>
      <w:r>
        <w:rPr>
          <w:bCs/>
        </w:rPr>
        <w:t xml:space="preserve">Diagnosis of gastroparesis confirmed by </w:t>
      </w:r>
      <w:r w:rsidR="00154207">
        <w:rPr>
          <w:bCs/>
        </w:rPr>
        <w:t xml:space="preserve">gastric emptying </w:t>
      </w:r>
      <w:r>
        <w:rPr>
          <w:bCs/>
        </w:rPr>
        <w:t>scintigraphy;</w:t>
      </w:r>
    </w:p>
    <w:p w14:paraId="504B12A7" w14:textId="77777777" w:rsidR="001A587E" w:rsidRPr="002D3747" w:rsidRDefault="001A587E" w:rsidP="001A587E">
      <w:pPr>
        <w:numPr>
          <w:ilvl w:val="0"/>
          <w:numId w:val="9"/>
        </w:numPr>
        <w:rPr>
          <w:bCs/>
        </w:rPr>
      </w:pPr>
      <w:r>
        <w:rPr>
          <w:bCs/>
        </w:rPr>
        <w:t xml:space="preserve">Severe nausea and vomiting occurring at least once daily </w:t>
      </w:r>
      <w:r w:rsidR="00AF557E">
        <w:rPr>
          <w:bCs/>
        </w:rPr>
        <w:t xml:space="preserve">on most days of the week </w:t>
      </w:r>
      <w:r>
        <w:rPr>
          <w:bCs/>
        </w:rPr>
        <w:t>for the duration of ≥1 year</w:t>
      </w:r>
      <w:r w:rsidR="00611AFA">
        <w:rPr>
          <w:bCs/>
        </w:rPr>
        <w:t>;</w:t>
      </w:r>
    </w:p>
    <w:p w14:paraId="504B12A8" w14:textId="77777777" w:rsidR="001A587E" w:rsidRDefault="001A587E" w:rsidP="001A587E">
      <w:pPr>
        <w:numPr>
          <w:ilvl w:val="0"/>
          <w:numId w:val="9"/>
        </w:numPr>
        <w:rPr>
          <w:bCs/>
        </w:rPr>
      </w:pPr>
      <w:r>
        <w:rPr>
          <w:bCs/>
        </w:rPr>
        <w:t>Documented intolerance or failure to a trial of antiemetic and prokinetic drug therapy</w:t>
      </w:r>
      <w:r w:rsidR="0000536D">
        <w:rPr>
          <w:bCs/>
        </w:rPr>
        <w:t>;</w:t>
      </w:r>
    </w:p>
    <w:p w14:paraId="504B12A9" w14:textId="6C11C3F9" w:rsidR="0000536D" w:rsidRDefault="00215A65" w:rsidP="001A587E">
      <w:pPr>
        <w:numPr>
          <w:ilvl w:val="0"/>
          <w:numId w:val="9"/>
        </w:numPr>
        <w:rPr>
          <w:bCs/>
        </w:rPr>
      </w:pPr>
      <w:r>
        <w:rPr>
          <w:bCs/>
        </w:rPr>
        <w:t>Is not currently pregnant.</w:t>
      </w:r>
    </w:p>
    <w:p w14:paraId="504B12AE" w14:textId="77777777" w:rsidR="001A587E" w:rsidRDefault="001A587E" w:rsidP="001A587E">
      <w:pPr>
        <w:rPr>
          <w:bCs/>
        </w:rPr>
      </w:pPr>
    </w:p>
    <w:p w14:paraId="504B12AF" w14:textId="77777777" w:rsidR="001A587E" w:rsidRDefault="001A587E" w:rsidP="001A587E">
      <w:pPr>
        <w:rPr>
          <w:bCs/>
        </w:rPr>
      </w:pPr>
      <w:r w:rsidRPr="0082484A">
        <w:rPr>
          <w:bCs/>
          <w:i/>
        </w:rPr>
        <w:t>Note:</w:t>
      </w:r>
      <w:r>
        <w:rPr>
          <w:bCs/>
        </w:rPr>
        <w:t xml:space="preserve">  Current recommended combination prokinetic therapy includes metoclopramide and erythromycin.  </w:t>
      </w:r>
    </w:p>
    <w:p w14:paraId="504B12B0" w14:textId="77777777" w:rsidR="001A587E" w:rsidRDefault="001A587E" w:rsidP="001A587E">
      <w:pPr>
        <w:rPr>
          <w:bCs/>
        </w:rPr>
      </w:pPr>
    </w:p>
    <w:p w14:paraId="504B12B1" w14:textId="4E262093" w:rsidR="001A587E" w:rsidRDefault="001A587E" w:rsidP="001A587E">
      <w:pPr>
        <w:numPr>
          <w:ilvl w:val="0"/>
          <w:numId w:val="10"/>
        </w:numPr>
        <w:ind w:left="360"/>
        <w:rPr>
          <w:bCs/>
        </w:rPr>
      </w:pPr>
      <w:r>
        <w:rPr>
          <w:bCs/>
        </w:rPr>
        <w:t xml:space="preserve">It is the policy of health plans affiliated with Centene Corporation that GES is </w:t>
      </w:r>
      <w:r w:rsidRPr="001A587E">
        <w:rPr>
          <w:b/>
          <w:bCs/>
        </w:rPr>
        <w:t xml:space="preserve">not </w:t>
      </w:r>
      <w:r w:rsidRPr="00AD2802">
        <w:rPr>
          <w:b/>
          <w:bCs/>
        </w:rPr>
        <w:t>medically necessary</w:t>
      </w:r>
      <w:r>
        <w:rPr>
          <w:bCs/>
        </w:rPr>
        <w:t xml:space="preserve"> for</w:t>
      </w:r>
      <w:r w:rsidR="00F367AC">
        <w:rPr>
          <w:bCs/>
        </w:rPr>
        <w:t xml:space="preserve"> the</w:t>
      </w:r>
      <w:r>
        <w:rPr>
          <w:bCs/>
        </w:rPr>
        <w:t xml:space="preserve"> reduction </w:t>
      </w:r>
      <w:r w:rsidR="00F367AC">
        <w:rPr>
          <w:bCs/>
        </w:rPr>
        <w:t>of</w:t>
      </w:r>
      <w:r>
        <w:rPr>
          <w:bCs/>
        </w:rPr>
        <w:t xml:space="preserve"> pain, fullness, bloating, or acid reflux symptoms as there is no evidence to support efficacy of such therapy.</w:t>
      </w:r>
    </w:p>
    <w:p w14:paraId="504B12B2" w14:textId="77777777" w:rsidR="006A6CB2" w:rsidRDefault="006A6CB2" w:rsidP="006A6CB2">
      <w:pPr>
        <w:rPr>
          <w:bCs/>
        </w:rPr>
      </w:pPr>
    </w:p>
    <w:p w14:paraId="504B12B3" w14:textId="420C0667" w:rsidR="006A6CB2" w:rsidRPr="00B20D5E" w:rsidRDefault="006A6CB2" w:rsidP="00B20D5E">
      <w:pPr>
        <w:pStyle w:val="ListParagraph"/>
        <w:numPr>
          <w:ilvl w:val="0"/>
          <w:numId w:val="10"/>
        </w:numPr>
        <w:ind w:left="360"/>
        <w:rPr>
          <w:bCs/>
        </w:rPr>
      </w:pPr>
      <w:r w:rsidRPr="00B20D5E">
        <w:rPr>
          <w:bCs/>
        </w:rPr>
        <w:t>It is the policy of health plans affiliated with C</w:t>
      </w:r>
      <w:r w:rsidR="00EF5DD3" w:rsidRPr="00B20D5E">
        <w:rPr>
          <w:bCs/>
        </w:rPr>
        <w:t>entene Corporation that GES is</w:t>
      </w:r>
      <w:r w:rsidRPr="00B20D5E">
        <w:rPr>
          <w:bCs/>
        </w:rPr>
        <w:t xml:space="preserve"> </w:t>
      </w:r>
      <w:r w:rsidRPr="00B20D5E">
        <w:rPr>
          <w:b/>
          <w:bCs/>
        </w:rPr>
        <w:t xml:space="preserve">investigational </w:t>
      </w:r>
      <w:r w:rsidRPr="00B20D5E">
        <w:rPr>
          <w:bCs/>
        </w:rPr>
        <w:t xml:space="preserve">for </w:t>
      </w:r>
      <w:r w:rsidR="00B20D5E" w:rsidRPr="00B20D5E">
        <w:rPr>
          <w:bCs/>
        </w:rPr>
        <w:t>all other indications</w:t>
      </w:r>
      <w:r w:rsidR="00B20D5E">
        <w:rPr>
          <w:bCs/>
        </w:rPr>
        <w:t xml:space="preserve">, </w:t>
      </w:r>
      <w:r w:rsidR="00B20D5E" w:rsidRPr="00B20D5E">
        <w:rPr>
          <w:bCs/>
        </w:rPr>
        <w:t xml:space="preserve">including but not limited to </w:t>
      </w:r>
      <w:r w:rsidRPr="00B20D5E">
        <w:rPr>
          <w:bCs/>
        </w:rPr>
        <w:t>the treatment of obesity</w:t>
      </w:r>
      <w:r w:rsidR="00F367AC">
        <w:rPr>
          <w:bCs/>
        </w:rPr>
        <w:t xml:space="preserve">, </w:t>
      </w:r>
      <w:r w:rsidRPr="00B20D5E">
        <w:rPr>
          <w:bCs/>
        </w:rPr>
        <w:t>due to a lack of evidence in the peer review literature demonstrating the long</w:t>
      </w:r>
      <w:r w:rsidR="00F367AC">
        <w:rPr>
          <w:bCs/>
        </w:rPr>
        <w:t>-</w:t>
      </w:r>
      <w:r w:rsidRPr="00B20D5E">
        <w:rPr>
          <w:bCs/>
        </w:rPr>
        <w:t>term safety and efficacy of this device</w:t>
      </w:r>
      <w:r w:rsidR="0013227D" w:rsidRPr="00B20D5E">
        <w:rPr>
          <w:bCs/>
        </w:rPr>
        <w:t>.</w:t>
      </w:r>
    </w:p>
    <w:p w14:paraId="5A49AD82" w14:textId="77777777" w:rsidR="00B20D5E" w:rsidRDefault="00B20D5E" w:rsidP="00B20D5E">
      <w:pPr>
        <w:pStyle w:val="ListParagraph"/>
        <w:rPr>
          <w:bCs/>
        </w:rPr>
      </w:pPr>
    </w:p>
    <w:p w14:paraId="504B12B6" w14:textId="77777777" w:rsidR="00FB0592" w:rsidRDefault="00FB0592" w:rsidP="00FB0592">
      <w:pPr>
        <w:pStyle w:val="Heading2"/>
        <w:rPr>
          <w:u w:val="none"/>
        </w:rPr>
      </w:pPr>
      <w:r w:rsidRPr="00B777AF">
        <w:rPr>
          <w:u w:val="none"/>
        </w:rPr>
        <w:t>Background</w:t>
      </w:r>
    </w:p>
    <w:p w14:paraId="504B12B7" w14:textId="77777777" w:rsidR="006A6CB2" w:rsidRPr="00083266" w:rsidRDefault="006A6CB2" w:rsidP="001A587E">
      <w:pPr>
        <w:pStyle w:val="Heading2"/>
        <w:rPr>
          <w:b w:val="0"/>
          <w:i/>
          <w:u w:val="none"/>
        </w:rPr>
      </w:pPr>
      <w:r w:rsidRPr="00083266">
        <w:rPr>
          <w:b w:val="0"/>
          <w:i/>
          <w:u w:val="none"/>
        </w:rPr>
        <w:t>Gastric Electrical Stimulation for Gastroparesis</w:t>
      </w:r>
    </w:p>
    <w:p w14:paraId="504B12B8" w14:textId="77777777" w:rsidR="001A587E" w:rsidRDefault="001A587E" w:rsidP="001A587E">
      <w:pPr>
        <w:pStyle w:val="Heading2"/>
        <w:rPr>
          <w:b w:val="0"/>
          <w:u w:val="none"/>
        </w:rPr>
      </w:pPr>
      <w:r>
        <w:rPr>
          <w:b w:val="0"/>
          <w:u w:val="none"/>
        </w:rPr>
        <w:t xml:space="preserve">Gastroparesis is a disorder in which there is delayed gastric emptying following ingestion of food, in the absence of mechanical obstruction, due to abnormal or absent motility of the stomach.  The stomach is unable to contract normally, and therefore cannot crush food nor propel food into the small intestine properly.  </w:t>
      </w:r>
    </w:p>
    <w:p w14:paraId="504B12B9" w14:textId="77777777" w:rsidR="001A587E" w:rsidRDefault="001A587E" w:rsidP="001A587E">
      <w:pPr>
        <w:pStyle w:val="Heading2"/>
        <w:rPr>
          <w:b w:val="0"/>
          <w:u w:val="none"/>
        </w:rPr>
      </w:pPr>
    </w:p>
    <w:p w14:paraId="504B12BA" w14:textId="77777777" w:rsidR="001A587E" w:rsidRDefault="001A587E" w:rsidP="001A587E">
      <w:pPr>
        <w:pStyle w:val="Heading2"/>
        <w:rPr>
          <w:b w:val="0"/>
          <w:u w:val="none"/>
        </w:rPr>
      </w:pPr>
      <w:r>
        <w:rPr>
          <w:b w:val="0"/>
          <w:u w:val="none"/>
        </w:rPr>
        <w:t xml:space="preserve">Approximately two-thirds of </w:t>
      </w:r>
      <w:r w:rsidR="00ED505E">
        <w:rPr>
          <w:b w:val="0"/>
          <w:u w:val="none"/>
        </w:rPr>
        <w:t xml:space="preserve">gastroparesis </w:t>
      </w:r>
      <w:r>
        <w:rPr>
          <w:b w:val="0"/>
          <w:u w:val="none"/>
        </w:rPr>
        <w:t xml:space="preserve">cases are idiopathic or associated with diabetes mellitus, but </w:t>
      </w:r>
      <w:r w:rsidR="001C4D6C">
        <w:rPr>
          <w:b w:val="0"/>
          <w:u w:val="none"/>
        </w:rPr>
        <w:t>gastroparesis</w:t>
      </w:r>
      <w:r>
        <w:rPr>
          <w:b w:val="0"/>
          <w:u w:val="none"/>
        </w:rPr>
        <w:t xml:space="preserve"> may also develop after gastric surgery and in other less common conditions.  The main symptoms include nausea, vomiting, early satiety, bloating, and </w:t>
      </w:r>
      <w:r>
        <w:rPr>
          <w:b w:val="0"/>
          <w:u w:val="none"/>
        </w:rPr>
        <w:lastRenderedPageBreak/>
        <w:t>discomfort.  Nausea and vomiting</w:t>
      </w:r>
      <w:r w:rsidR="001C4D6C">
        <w:rPr>
          <w:b w:val="0"/>
          <w:u w:val="none"/>
        </w:rPr>
        <w:t xml:space="preserve"> may be so severe that they cause</w:t>
      </w:r>
      <w:r>
        <w:rPr>
          <w:b w:val="0"/>
          <w:u w:val="none"/>
        </w:rPr>
        <w:t xml:space="preserve"> weight loss, dehydration, electrolyte disturbances, and malnutrition.  </w:t>
      </w:r>
    </w:p>
    <w:p w14:paraId="504B12BB" w14:textId="77777777" w:rsidR="001A587E" w:rsidRPr="001E57A1" w:rsidRDefault="001A587E" w:rsidP="001A587E"/>
    <w:p w14:paraId="504B12BC" w14:textId="77777777" w:rsidR="001A587E" w:rsidRDefault="001A587E" w:rsidP="001A587E">
      <w:pPr>
        <w:pStyle w:val="Heading2"/>
        <w:rPr>
          <w:b w:val="0"/>
          <w:u w:val="none"/>
        </w:rPr>
      </w:pPr>
      <w:r>
        <w:rPr>
          <w:b w:val="0"/>
          <w:u w:val="none"/>
        </w:rPr>
        <w:t>It is theorized that GES works in the following ways:</w:t>
      </w:r>
    </w:p>
    <w:p w14:paraId="504B12BD" w14:textId="77777777" w:rsidR="001A587E" w:rsidRDefault="001A587E" w:rsidP="001A587E">
      <w:pPr>
        <w:numPr>
          <w:ilvl w:val="0"/>
          <w:numId w:val="11"/>
        </w:numPr>
      </w:pPr>
      <w:r>
        <w:t>Activation of the central mechanisms for nausea and vomiting control related to afferent nerves being stimulated by the constant high frequency current in the stomach wall</w:t>
      </w:r>
      <w:r w:rsidR="001C4D6C">
        <w:t>.</w:t>
      </w:r>
    </w:p>
    <w:p w14:paraId="504B12BE" w14:textId="77777777" w:rsidR="001A587E" w:rsidRDefault="001A587E" w:rsidP="001A587E">
      <w:pPr>
        <w:numPr>
          <w:ilvl w:val="0"/>
          <w:numId w:val="11"/>
        </w:numPr>
      </w:pPr>
      <w:r>
        <w:t xml:space="preserve">Enhanced relaxation of the fundus of the stomach by </w:t>
      </w:r>
      <w:r w:rsidR="00ED505E">
        <w:t xml:space="preserve">the electrical </w:t>
      </w:r>
      <w:r>
        <w:t>current</w:t>
      </w:r>
      <w:r w:rsidR="00ED505E">
        <w:t>,</w:t>
      </w:r>
      <w:r>
        <w:t xml:space="preserve"> thus providing better accommodation and decreased sensitivity to distention.</w:t>
      </w:r>
    </w:p>
    <w:p w14:paraId="504B12BF" w14:textId="77777777" w:rsidR="001A587E" w:rsidRDefault="001A587E" w:rsidP="001A587E">
      <w:pPr>
        <w:numPr>
          <w:ilvl w:val="0"/>
          <w:numId w:val="11"/>
        </w:numPr>
      </w:pPr>
      <w:r>
        <w:t>Augmentation of the amplitude of gastric slow wave after eating.</w:t>
      </w:r>
    </w:p>
    <w:p w14:paraId="504B12C0" w14:textId="77777777" w:rsidR="001A587E" w:rsidRDefault="001A587E" w:rsidP="001A587E">
      <w:pPr>
        <w:numPr>
          <w:ilvl w:val="0"/>
          <w:numId w:val="11"/>
        </w:numPr>
      </w:pPr>
      <w:r>
        <w:t>Increase in cholinergic function and decreased sympathetic functions</w:t>
      </w:r>
      <w:r w:rsidR="00ED505E">
        <w:t>.</w:t>
      </w:r>
    </w:p>
    <w:p w14:paraId="504B12C1" w14:textId="77777777" w:rsidR="001A587E" w:rsidRDefault="001A587E" w:rsidP="001A587E">
      <w:pPr>
        <w:numPr>
          <w:ilvl w:val="0"/>
          <w:numId w:val="11"/>
        </w:numPr>
      </w:pPr>
      <w:r>
        <w:t>Small and unpredictable improvements in gastric emptying.</w:t>
      </w:r>
    </w:p>
    <w:p w14:paraId="504B12C2" w14:textId="77777777" w:rsidR="001A587E" w:rsidRDefault="001A587E" w:rsidP="001A587E"/>
    <w:p w14:paraId="504B12C3" w14:textId="77777777" w:rsidR="002E48E7" w:rsidRDefault="001A587E" w:rsidP="00FB0592">
      <w:r>
        <w:t>The results of a number of studies have shown an improvement in quality of life score, even though on average, gastric emptying did not change.  Quality of life scores improved along with a decrease in hospital admission days, reduction in hemoglobin A1C</w:t>
      </w:r>
      <w:r w:rsidR="001C4D6C">
        <w:t>,</w:t>
      </w:r>
      <w:r>
        <w:t xml:space="preserve"> </w:t>
      </w:r>
      <w:r w:rsidR="00AC4AD8">
        <w:t xml:space="preserve">and weight gain. </w:t>
      </w:r>
      <w:r>
        <w:t>Nausea and vomiting have also showed improvements for at least one year after surgery.</w:t>
      </w:r>
    </w:p>
    <w:p w14:paraId="504B12C4" w14:textId="77777777" w:rsidR="006A6CB2" w:rsidRDefault="006A6CB2" w:rsidP="00FB0592"/>
    <w:p w14:paraId="504B12C5" w14:textId="77777777" w:rsidR="006A6CB2" w:rsidRPr="00083266" w:rsidRDefault="006A6CB2" w:rsidP="00FB0592">
      <w:pPr>
        <w:rPr>
          <w:i/>
        </w:rPr>
      </w:pPr>
      <w:r w:rsidRPr="00083266">
        <w:rPr>
          <w:i/>
        </w:rPr>
        <w:t>Gastric Electrical Stimulation for Obesity</w:t>
      </w:r>
    </w:p>
    <w:p w14:paraId="504B12C6" w14:textId="77777777" w:rsidR="006A6CB2" w:rsidRDefault="00C94EE8" w:rsidP="00FB0592">
      <w:r>
        <w:t xml:space="preserve">GES is currently under investigation as a treatment for obesity. Cha et al. (2014) reviewed current approaches to evaluate the effect </w:t>
      </w:r>
      <w:r w:rsidR="00ED505E">
        <w:t xml:space="preserve">of </w:t>
      </w:r>
      <w:r>
        <w:t>GES on obesity. 31 studies were included in their systematic review. Although most of the studies showed weight loss in the treatment group, most had a follow-up duration of 12 months or less. Some of the evaluated GES treatments also showed positive effects in lowering HbA1c and blood pressure.</w:t>
      </w:r>
      <w:r w:rsidR="00022E19">
        <w:rPr>
          <w:vertAlign w:val="superscript"/>
        </w:rPr>
        <w:t>9</w:t>
      </w:r>
      <w:r>
        <w:t xml:space="preserve"> Cha et al. stated that GES holds great promise for the treatment of obesity, but stronger studies with longer follow-up are needed to determine long-term effects.</w:t>
      </w:r>
      <w:r w:rsidR="00022E19">
        <w:rPr>
          <w:vertAlign w:val="superscript"/>
        </w:rPr>
        <w:t>9</w:t>
      </w:r>
      <w:r w:rsidR="00EA5A71">
        <w:t xml:space="preserve"> Lebovitz (2016) reviewed the evidence on three different methods of GES, including the Transcend</w:t>
      </w:r>
      <w:r w:rsidR="00EA5A71" w:rsidRPr="00083266">
        <w:rPr>
          <w:vertAlign w:val="superscript"/>
        </w:rPr>
        <w:t>®</w:t>
      </w:r>
      <w:r w:rsidR="00EA5A71">
        <w:rPr>
          <w:vertAlign w:val="superscript"/>
        </w:rPr>
        <w:t xml:space="preserve"> </w:t>
      </w:r>
      <w:r w:rsidR="00EA5A71">
        <w:t>Implantable Gastric Stimulator, the Maestro</w:t>
      </w:r>
      <w:r w:rsidR="00EA5A71">
        <w:rPr>
          <w:vertAlign w:val="superscript"/>
        </w:rPr>
        <w:t xml:space="preserve">TM </w:t>
      </w:r>
      <w:r w:rsidR="00EA5A71">
        <w:t>vagal blockade device, and the DIAMOND</w:t>
      </w:r>
      <w:r w:rsidR="00EA5A71">
        <w:rPr>
          <w:vertAlign w:val="superscript"/>
        </w:rPr>
        <w:t>TM</w:t>
      </w:r>
      <w:r w:rsidR="00EA5A71">
        <w:t xml:space="preserve"> gastric electrical stimulatory device.</w:t>
      </w:r>
      <w:r w:rsidR="00022E19">
        <w:rPr>
          <w:vertAlign w:val="superscript"/>
        </w:rPr>
        <w:t>10</w:t>
      </w:r>
      <w:r w:rsidR="00EA5A71">
        <w:t xml:space="preserve"> </w:t>
      </w:r>
      <w:r w:rsidR="00A847B9">
        <w:t>Two randomized controlled trials failed to show a significant benefit in excess weight loss with the Transcend device.</w:t>
      </w:r>
      <w:r w:rsidR="00A847B9">
        <w:rPr>
          <w:vertAlign w:val="superscript"/>
        </w:rPr>
        <w:t>10</w:t>
      </w:r>
      <w:r w:rsidR="00A847B9">
        <w:t xml:space="preserve"> </w:t>
      </w:r>
      <w:r w:rsidR="00022E19">
        <w:t xml:space="preserve">The other evaluated GES device, the DIAMOND, has been assessed in </w:t>
      </w:r>
      <w:r w:rsidR="00C86F7D">
        <w:t>clinical trials with obese patients with type 2 diabetes.</w:t>
      </w:r>
      <w:r w:rsidR="00F26EE6">
        <w:t xml:space="preserve"> Findings were positive but varied among the patients included in treatment. Effects included reduced HbA1c and weight loss, and seemed to be influenced by baseline HbA1c levels and triglyceride levels.</w:t>
      </w:r>
      <w:r w:rsidR="00F26EE6">
        <w:rPr>
          <w:vertAlign w:val="superscript"/>
        </w:rPr>
        <w:t>10</w:t>
      </w:r>
      <w:r w:rsidR="00F26EE6">
        <w:t xml:space="preserve"> Further research is needed to determine long-term effects and appropriate patient selection criteria to ensure the best outcomes. </w:t>
      </w:r>
      <w:r w:rsidR="00C86F7D">
        <w:t xml:space="preserve"> </w:t>
      </w:r>
    </w:p>
    <w:p w14:paraId="504B12C7" w14:textId="77777777" w:rsidR="00FE290A" w:rsidRPr="000465DE" w:rsidRDefault="00FE290A">
      <w:pPr>
        <w:rPr>
          <w:b/>
          <w:bCs/>
        </w:rPr>
      </w:pPr>
    </w:p>
    <w:p w14:paraId="504B12C8" w14:textId="77777777" w:rsidR="00170B14" w:rsidRPr="00B777AF" w:rsidRDefault="00170B14" w:rsidP="00170B14">
      <w:pPr>
        <w:rPr>
          <w:b/>
        </w:rPr>
      </w:pPr>
      <w:bookmarkStart w:id="0" w:name="Coding_Implications"/>
      <w:r w:rsidRPr="00B777AF">
        <w:rPr>
          <w:b/>
        </w:rPr>
        <w:t>Coding Implications</w:t>
      </w:r>
    </w:p>
    <w:bookmarkEnd w:id="0"/>
    <w:p w14:paraId="504B12C9" w14:textId="71B94158" w:rsidR="00AF5490" w:rsidRDefault="003C2970"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777F61">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w:t>
      </w:r>
      <w:r w:rsidR="00AF5490" w:rsidRPr="00A11BDF">
        <w:t>for informational purposes only.  They are current at time of review of this policy.  Inclusion or exclusion of any codes does not guarantee coverage</w:t>
      </w:r>
      <w:r w:rsidR="00AF5490">
        <w:t xml:space="preserve">.  </w:t>
      </w:r>
      <w:r w:rsidR="00AF5490" w:rsidRPr="00AF5490">
        <w:t>Providers should reference the most up-to-date sources of professional coding guidance prior to the submission of claims for reimbursement of covered services.</w:t>
      </w:r>
    </w:p>
    <w:p w14:paraId="504B12CA" w14:textId="77777777" w:rsidR="00AF5490" w:rsidRPr="00A85489" w:rsidRDefault="00AF5490" w:rsidP="00AF5490"/>
    <w:tbl>
      <w:tblPr>
        <w:tblStyle w:val="TableGrid"/>
        <w:tblW w:w="5147" w:type="pct"/>
        <w:tblLook w:val="0020" w:firstRow="1" w:lastRow="0" w:firstColumn="0" w:lastColumn="0" w:noHBand="0" w:noVBand="0"/>
      </w:tblPr>
      <w:tblGrid>
        <w:gridCol w:w="1109"/>
        <w:gridCol w:w="8516"/>
      </w:tblGrid>
      <w:tr w:rsidR="00B777AF" w:rsidRPr="00B777AF" w14:paraId="504B12CD" w14:textId="77777777" w:rsidTr="007B1FD3">
        <w:trPr>
          <w:tblHeader/>
        </w:trPr>
        <w:tc>
          <w:tcPr>
            <w:tcW w:w="1109" w:type="dxa"/>
            <w:shd w:val="clear" w:color="auto" w:fill="00548C"/>
          </w:tcPr>
          <w:p w14:paraId="504B12CB" w14:textId="77777777" w:rsidR="00D36448" w:rsidRPr="00B777AF" w:rsidRDefault="00D36448" w:rsidP="00C10DF0">
            <w:pPr>
              <w:rPr>
                <w:b/>
                <w:bCs/>
                <w:color w:val="FFFFFF" w:themeColor="background1"/>
              </w:rPr>
            </w:pPr>
            <w:r w:rsidRPr="00B777AF">
              <w:rPr>
                <w:b/>
                <w:color w:val="FFFFFF" w:themeColor="background1"/>
              </w:rPr>
              <w:lastRenderedPageBreak/>
              <w:t>CPT</w:t>
            </w:r>
            <w:r w:rsidR="00AF5490" w:rsidRPr="00B777AF">
              <w:rPr>
                <w:b/>
                <w:color w:val="FFFFFF" w:themeColor="background1"/>
                <w:vertAlign w:val="superscript"/>
              </w:rPr>
              <w:t>®</w:t>
            </w:r>
            <w:r w:rsidRPr="00B777AF">
              <w:rPr>
                <w:b/>
                <w:color w:val="FFFFFF" w:themeColor="background1"/>
              </w:rPr>
              <w:t xml:space="preserve"> Codes </w:t>
            </w:r>
          </w:p>
        </w:tc>
        <w:tc>
          <w:tcPr>
            <w:tcW w:w="8516" w:type="dxa"/>
            <w:shd w:val="clear" w:color="auto" w:fill="00548C"/>
          </w:tcPr>
          <w:p w14:paraId="504B12CC" w14:textId="77777777" w:rsidR="00D36448" w:rsidRPr="00B777AF" w:rsidRDefault="00D36448" w:rsidP="00C10DF0">
            <w:pPr>
              <w:rPr>
                <w:b/>
                <w:bCs/>
                <w:color w:val="FFFFFF" w:themeColor="background1"/>
              </w:rPr>
            </w:pPr>
            <w:r w:rsidRPr="00B777AF">
              <w:rPr>
                <w:b/>
                <w:color w:val="FFFFFF" w:themeColor="background1"/>
              </w:rPr>
              <w:t>Description</w:t>
            </w:r>
          </w:p>
        </w:tc>
      </w:tr>
      <w:tr w:rsidR="001A587E" w:rsidRPr="005144C0" w14:paraId="504B12D0" w14:textId="77777777" w:rsidTr="007B1FD3">
        <w:tc>
          <w:tcPr>
            <w:tcW w:w="1109" w:type="dxa"/>
          </w:tcPr>
          <w:p w14:paraId="504B12CE"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43647 </w:t>
            </w:r>
          </w:p>
        </w:tc>
        <w:tc>
          <w:tcPr>
            <w:tcW w:w="8516" w:type="dxa"/>
          </w:tcPr>
          <w:p w14:paraId="504B12CF"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Laparoscopy, surgical; implantation or replacement of gastric neurostimulator electrodes, antrum </w:t>
            </w:r>
          </w:p>
        </w:tc>
      </w:tr>
      <w:tr w:rsidR="001A587E" w:rsidRPr="005144C0" w14:paraId="504B12D3" w14:textId="77777777" w:rsidTr="007B1FD3">
        <w:tc>
          <w:tcPr>
            <w:tcW w:w="1109" w:type="dxa"/>
          </w:tcPr>
          <w:p w14:paraId="504B12D1"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43648 </w:t>
            </w:r>
          </w:p>
        </w:tc>
        <w:tc>
          <w:tcPr>
            <w:tcW w:w="8516" w:type="dxa"/>
          </w:tcPr>
          <w:p w14:paraId="504B12D2"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Laparoscopy, surgical; revision or removal of gastric neurostimulator electrodes, antrum </w:t>
            </w:r>
          </w:p>
        </w:tc>
      </w:tr>
      <w:tr w:rsidR="001A587E" w:rsidRPr="005144C0" w14:paraId="504B12D6" w14:textId="77777777" w:rsidTr="007B1FD3">
        <w:tc>
          <w:tcPr>
            <w:tcW w:w="1109" w:type="dxa"/>
          </w:tcPr>
          <w:p w14:paraId="504B12D4"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43881 </w:t>
            </w:r>
          </w:p>
        </w:tc>
        <w:tc>
          <w:tcPr>
            <w:tcW w:w="8516" w:type="dxa"/>
          </w:tcPr>
          <w:p w14:paraId="504B12D5"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Implantation or replacement of gastric neurostimulator electrodes, antrum, open </w:t>
            </w:r>
          </w:p>
        </w:tc>
      </w:tr>
      <w:tr w:rsidR="001A587E" w:rsidRPr="005144C0" w14:paraId="504B12D9" w14:textId="77777777" w:rsidTr="007B1FD3">
        <w:tc>
          <w:tcPr>
            <w:tcW w:w="1109" w:type="dxa"/>
          </w:tcPr>
          <w:p w14:paraId="504B12D7"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43882 </w:t>
            </w:r>
          </w:p>
        </w:tc>
        <w:tc>
          <w:tcPr>
            <w:tcW w:w="8516" w:type="dxa"/>
          </w:tcPr>
          <w:p w14:paraId="504B12D8"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Revision or removal of gastric neurostimulator electrodes, antrum, open </w:t>
            </w:r>
          </w:p>
        </w:tc>
      </w:tr>
      <w:tr w:rsidR="001A587E" w:rsidRPr="005144C0" w14:paraId="504B12DC" w14:textId="77777777" w:rsidTr="007B1FD3">
        <w:tc>
          <w:tcPr>
            <w:tcW w:w="1109" w:type="dxa"/>
          </w:tcPr>
          <w:p w14:paraId="504B12DA"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64590 </w:t>
            </w:r>
          </w:p>
        </w:tc>
        <w:tc>
          <w:tcPr>
            <w:tcW w:w="8516" w:type="dxa"/>
          </w:tcPr>
          <w:p w14:paraId="504B12DB"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Insertion or replacement of peripheral or gastric neurostimulator pulse generator or receiver, direct or inductive coupling </w:t>
            </w:r>
          </w:p>
        </w:tc>
      </w:tr>
      <w:tr w:rsidR="001A587E" w:rsidRPr="005144C0" w14:paraId="504B12DF" w14:textId="77777777" w:rsidTr="007B1FD3">
        <w:tc>
          <w:tcPr>
            <w:tcW w:w="1109" w:type="dxa"/>
          </w:tcPr>
          <w:p w14:paraId="504B12DD"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64595 </w:t>
            </w:r>
          </w:p>
        </w:tc>
        <w:tc>
          <w:tcPr>
            <w:tcW w:w="8516" w:type="dxa"/>
          </w:tcPr>
          <w:p w14:paraId="504B12DE" w14:textId="77777777" w:rsidR="001A587E" w:rsidRPr="0075751F" w:rsidRDefault="001A587E" w:rsidP="00BA76C2">
            <w:pPr>
              <w:pStyle w:val="Default"/>
              <w:rPr>
                <w:rFonts w:ascii="Times New Roman" w:hAnsi="Times New Roman" w:cs="Times New Roman"/>
              </w:rPr>
            </w:pPr>
            <w:r w:rsidRPr="0075751F">
              <w:rPr>
                <w:rFonts w:ascii="Times New Roman" w:hAnsi="Times New Roman" w:cs="Times New Roman"/>
              </w:rPr>
              <w:t xml:space="preserve">Revision or removal of peripheral or gastric neurostimulator pulse generator or receiver </w:t>
            </w:r>
          </w:p>
        </w:tc>
      </w:tr>
      <w:tr w:rsidR="00154207" w:rsidRPr="005144C0" w14:paraId="47712EAE" w14:textId="77777777" w:rsidTr="007B1FD3">
        <w:tc>
          <w:tcPr>
            <w:tcW w:w="1109" w:type="dxa"/>
          </w:tcPr>
          <w:p w14:paraId="1F2BC413" w14:textId="66CAD098" w:rsidR="00154207" w:rsidRPr="0075751F" w:rsidRDefault="00B20D5E" w:rsidP="00BA76C2">
            <w:pPr>
              <w:pStyle w:val="Default"/>
              <w:rPr>
                <w:rFonts w:ascii="Times New Roman" w:hAnsi="Times New Roman" w:cs="Times New Roman"/>
              </w:rPr>
            </w:pPr>
            <w:r>
              <w:rPr>
                <w:rFonts w:ascii="Times New Roman" w:hAnsi="Times New Roman" w:cs="Times New Roman"/>
              </w:rPr>
              <w:t>95980</w:t>
            </w:r>
          </w:p>
        </w:tc>
        <w:tc>
          <w:tcPr>
            <w:tcW w:w="8516" w:type="dxa"/>
          </w:tcPr>
          <w:p w14:paraId="6D0DDA00" w14:textId="7867DC1E" w:rsidR="00154207" w:rsidRPr="0075751F" w:rsidRDefault="00B20D5E" w:rsidP="007B1FD3">
            <w:pPr>
              <w:pStyle w:val="Default"/>
              <w:rPr>
                <w:rFonts w:ascii="Times New Roman" w:hAnsi="Times New Roman" w:cs="Times New Roman"/>
              </w:rPr>
            </w:pPr>
            <w:r w:rsidRPr="00B20D5E">
              <w:rPr>
                <w:rFonts w:ascii="Times New Roman" w:hAnsi="Times New Roman" w:cs="Times New Roman"/>
              </w:rPr>
              <w:t>Electronic analysis of implanted</w:t>
            </w:r>
            <w:r>
              <w:rPr>
                <w:rFonts w:ascii="Times New Roman" w:hAnsi="Times New Roman" w:cs="Times New Roman"/>
              </w:rPr>
              <w:t xml:space="preserve"> </w:t>
            </w:r>
            <w:r w:rsidRPr="00B20D5E">
              <w:rPr>
                <w:rFonts w:ascii="Times New Roman" w:hAnsi="Times New Roman" w:cs="Times New Roman"/>
              </w:rPr>
              <w:t>neurostimulator pulse generator system</w:t>
            </w:r>
            <w:r w:rsidR="007B1FD3">
              <w:rPr>
                <w:rFonts w:ascii="Times New Roman" w:hAnsi="Times New Roman" w:cs="Times New Roman"/>
              </w:rPr>
              <w:t xml:space="preserve"> (eg. rate, </w:t>
            </w:r>
            <w:r w:rsidRPr="00B20D5E">
              <w:rPr>
                <w:rFonts w:ascii="Times New Roman" w:hAnsi="Times New Roman" w:cs="Times New Roman"/>
              </w:rPr>
              <w:t>pulse amplitude and duration,</w:t>
            </w:r>
            <w:r>
              <w:rPr>
                <w:rFonts w:ascii="Times New Roman" w:hAnsi="Times New Roman" w:cs="Times New Roman"/>
              </w:rPr>
              <w:t xml:space="preserve"> </w:t>
            </w:r>
            <w:r w:rsidRPr="00B20D5E">
              <w:rPr>
                <w:rFonts w:ascii="Times New Roman" w:hAnsi="Times New Roman" w:cs="Times New Roman"/>
              </w:rPr>
              <w:t>configuration of wave form, battery</w:t>
            </w:r>
            <w:r w:rsidR="007B1FD3">
              <w:rPr>
                <w:rFonts w:ascii="Times New Roman" w:hAnsi="Times New Roman" w:cs="Times New Roman"/>
              </w:rPr>
              <w:t xml:space="preserve"> status, </w:t>
            </w:r>
            <w:r w:rsidRPr="00B20D5E">
              <w:rPr>
                <w:rFonts w:ascii="Times New Roman" w:hAnsi="Times New Roman" w:cs="Times New Roman"/>
              </w:rPr>
              <w:t>electrode selectability, output</w:t>
            </w:r>
            <w:r>
              <w:rPr>
                <w:rFonts w:ascii="Times New Roman" w:hAnsi="Times New Roman" w:cs="Times New Roman"/>
              </w:rPr>
              <w:t xml:space="preserve"> </w:t>
            </w:r>
            <w:r w:rsidRPr="00B20D5E">
              <w:rPr>
                <w:rFonts w:ascii="Times New Roman" w:hAnsi="Times New Roman" w:cs="Times New Roman"/>
              </w:rPr>
              <w:t>modulation, cycling, impedance, and</w:t>
            </w:r>
            <w:r w:rsidR="007B1FD3">
              <w:rPr>
                <w:rFonts w:ascii="Times New Roman" w:hAnsi="Times New Roman" w:cs="Times New Roman"/>
              </w:rPr>
              <w:t xml:space="preserve"> </w:t>
            </w:r>
            <w:r w:rsidRPr="00B20D5E">
              <w:rPr>
                <w:rFonts w:ascii="Times New Roman" w:hAnsi="Times New Roman" w:cs="Times New Roman"/>
              </w:rPr>
              <w:t>patient measurements) gastric</w:t>
            </w:r>
            <w:r>
              <w:rPr>
                <w:rFonts w:ascii="Times New Roman" w:hAnsi="Times New Roman" w:cs="Times New Roman"/>
              </w:rPr>
              <w:t xml:space="preserve"> </w:t>
            </w:r>
            <w:r w:rsidRPr="00B20D5E">
              <w:rPr>
                <w:rFonts w:ascii="Times New Roman" w:hAnsi="Times New Roman" w:cs="Times New Roman"/>
              </w:rPr>
              <w:t>neurostimulator pulse</w:t>
            </w:r>
            <w:r>
              <w:rPr>
                <w:rFonts w:ascii="Times New Roman" w:hAnsi="Times New Roman" w:cs="Times New Roman"/>
              </w:rPr>
              <w:t xml:space="preserve"> </w:t>
            </w:r>
            <w:r w:rsidRPr="00B20D5E">
              <w:rPr>
                <w:rFonts w:ascii="Times New Roman" w:hAnsi="Times New Roman" w:cs="Times New Roman"/>
              </w:rPr>
              <w:t>generator/transmitter, intraoperative,</w:t>
            </w:r>
            <w:r>
              <w:rPr>
                <w:rFonts w:ascii="Times New Roman" w:hAnsi="Times New Roman" w:cs="Times New Roman"/>
              </w:rPr>
              <w:t xml:space="preserve"> </w:t>
            </w:r>
            <w:r w:rsidRPr="00B20D5E">
              <w:rPr>
                <w:rFonts w:ascii="Times New Roman" w:hAnsi="Times New Roman" w:cs="Times New Roman"/>
              </w:rPr>
              <w:t>with programming</w:t>
            </w:r>
          </w:p>
        </w:tc>
      </w:tr>
      <w:tr w:rsidR="00154207" w:rsidRPr="005144C0" w14:paraId="2A97568B" w14:textId="77777777" w:rsidTr="007B1FD3">
        <w:tc>
          <w:tcPr>
            <w:tcW w:w="1109" w:type="dxa"/>
          </w:tcPr>
          <w:p w14:paraId="60751D16" w14:textId="0DB14F42" w:rsidR="00154207" w:rsidRPr="0075751F" w:rsidRDefault="00B20D5E" w:rsidP="00BA76C2">
            <w:pPr>
              <w:pStyle w:val="Default"/>
              <w:rPr>
                <w:rFonts w:ascii="Times New Roman" w:hAnsi="Times New Roman" w:cs="Times New Roman"/>
              </w:rPr>
            </w:pPr>
            <w:r>
              <w:rPr>
                <w:rFonts w:ascii="Times New Roman" w:hAnsi="Times New Roman" w:cs="Times New Roman"/>
              </w:rPr>
              <w:t>95981</w:t>
            </w:r>
          </w:p>
        </w:tc>
        <w:tc>
          <w:tcPr>
            <w:tcW w:w="8516" w:type="dxa"/>
          </w:tcPr>
          <w:p w14:paraId="07E9ACD0" w14:textId="48A15033" w:rsidR="00154207" w:rsidRPr="0075751F" w:rsidRDefault="00C61529" w:rsidP="00BA76C2">
            <w:pPr>
              <w:pStyle w:val="Default"/>
              <w:rPr>
                <w:rFonts w:ascii="Times New Roman" w:hAnsi="Times New Roman" w:cs="Times New Roman"/>
              </w:rPr>
            </w:pPr>
            <w:r w:rsidRPr="00C61529">
              <w:rPr>
                <w:rFonts w:ascii="Times New Roman" w:hAnsi="Times New Roman" w:cs="Times New Roman"/>
              </w:rPr>
              <w:t>Electronic analysis of implanted neurostimulator pulse generator system (eg, rate, pulse amplitude and duration, configuration of wave form, battery status, electrode selectability, output modulation, cycling, impedance and patient measurements) gastric neurostimulator pulse generator/transmitter; subsequent, without reprogramming</w:t>
            </w:r>
          </w:p>
        </w:tc>
      </w:tr>
      <w:tr w:rsidR="00154207" w:rsidRPr="005144C0" w14:paraId="652AE6E0" w14:textId="77777777" w:rsidTr="007B1FD3">
        <w:tc>
          <w:tcPr>
            <w:tcW w:w="1109" w:type="dxa"/>
          </w:tcPr>
          <w:p w14:paraId="259D06A2" w14:textId="663A4A00" w:rsidR="00154207" w:rsidRPr="0075751F" w:rsidRDefault="00B20D5E" w:rsidP="00BA76C2">
            <w:pPr>
              <w:pStyle w:val="Default"/>
              <w:rPr>
                <w:rFonts w:ascii="Times New Roman" w:hAnsi="Times New Roman" w:cs="Times New Roman"/>
              </w:rPr>
            </w:pPr>
            <w:r>
              <w:rPr>
                <w:rFonts w:ascii="Times New Roman" w:hAnsi="Times New Roman" w:cs="Times New Roman"/>
              </w:rPr>
              <w:t>95982</w:t>
            </w:r>
          </w:p>
        </w:tc>
        <w:tc>
          <w:tcPr>
            <w:tcW w:w="8516" w:type="dxa"/>
          </w:tcPr>
          <w:p w14:paraId="14142DBA" w14:textId="5A091227" w:rsidR="00154207" w:rsidRPr="0075751F" w:rsidRDefault="00C61529" w:rsidP="00BA76C2">
            <w:pPr>
              <w:pStyle w:val="Default"/>
              <w:rPr>
                <w:rFonts w:ascii="Times New Roman" w:hAnsi="Times New Roman" w:cs="Times New Roman"/>
              </w:rPr>
            </w:pPr>
            <w:r w:rsidRPr="00C61529">
              <w:rPr>
                <w:rFonts w:ascii="Times New Roman" w:hAnsi="Times New Roman" w:cs="Times New Roman"/>
              </w:rPr>
              <w:t>Electronic analysis of implanted neurostimulator pulse generator system (eg, rate, pulse amplitude and duration, configuration of wave form, battery status, electrode selectability, output modulation, cycling, impedance and patient measurements) gastric neurostimulator pulse generator/transmitter; subsequent, with reprogramming</w:t>
            </w:r>
          </w:p>
        </w:tc>
      </w:tr>
    </w:tbl>
    <w:p w14:paraId="504B12E0" w14:textId="77777777" w:rsidR="003412F5" w:rsidRDefault="003412F5" w:rsidP="003412F5"/>
    <w:tbl>
      <w:tblPr>
        <w:tblStyle w:val="TableGrid"/>
        <w:tblW w:w="5147" w:type="pct"/>
        <w:tblLook w:val="0020" w:firstRow="1" w:lastRow="0" w:firstColumn="0" w:lastColumn="0" w:noHBand="0" w:noVBand="0"/>
      </w:tblPr>
      <w:tblGrid>
        <w:gridCol w:w="1122"/>
        <w:gridCol w:w="8503"/>
      </w:tblGrid>
      <w:tr w:rsidR="003412F5" w14:paraId="504B12E3" w14:textId="77777777" w:rsidTr="007B1FD3">
        <w:trPr>
          <w:tblHeader/>
        </w:trPr>
        <w:tc>
          <w:tcPr>
            <w:tcW w:w="1122" w:type="dxa"/>
            <w:tcBorders>
              <w:top w:val="single" w:sz="4" w:space="0" w:color="auto"/>
              <w:left w:val="single" w:sz="4" w:space="0" w:color="auto"/>
              <w:bottom w:val="single" w:sz="4" w:space="0" w:color="auto"/>
              <w:right w:val="single" w:sz="4" w:space="0" w:color="auto"/>
            </w:tcBorders>
            <w:shd w:val="clear" w:color="auto" w:fill="00548C"/>
            <w:hideMark/>
          </w:tcPr>
          <w:p w14:paraId="504B12E1" w14:textId="77777777" w:rsidR="003412F5" w:rsidRDefault="003412F5" w:rsidP="00C97C36">
            <w:pPr>
              <w:rPr>
                <w:b/>
                <w:bCs/>
                <w:color w:val="FFFFFF" w:themeColor="background1"/>
              </w:rPr>
            </w:pPr>
            <w:r>
              <w:rPr>
                <w:b/>
                <w:color w:val="FFFFFF" w:themeColor="background1"/>
              </w:rPr>
              <w:t xml:space="preserve">HCPCS Codes </w:t>
            </w:r>
          </w:p>
        </w:tc>
        <w:tc>
          <w:tcPr>
            <w:tcW w:w="8503" w:type="dxa"/>
            <w:tcBorders>
              <w:top w:val="single" w:sz="4" w:space="0" w:color="auto"/>
              <w:left w:val="single" w:sz="4" w:space="0" w:color="auto"/>
              <w:bottom w:val="single" w:sz="4" w:space="0" w:color="auto"/>
              <w:right w:val="single" w:sz="4" w:space="0" w:color="auto"/>
            </w:tcBorders>
            <w:shd w:val="clear" w:color="auto" w:fill="00548C"/>
            <w:hideMark/>
          </w:tcPr>
          <w:p w14:paraId="504B12E2" w14:textId="77777777" w:rsidR="003412F5" w:rsidRDefault="003412F5" w:rsidP="00C97C36">
            <w:pPr>
              <w:rPr>
                <w:b/>
                <w:bCs/>
                <w:color w:val="FFFFFF" w:themeColor="background1"/>
              </w:rPr>
            </w:pPr>
            <w:r>
              <w:rPr>
                <w:b/>
                <w:color w:val="FFFFFF" w:themeColor="background1"/>
              </w:rPr>
              <w:t>Description</w:t>
            </w:r>
          </w:p>
        </w:tc>
      </w:tr>
      <w:tr w:rsidR="00222470" w14:paraId="504B12E9" w14:textId="77777777" w:rsidTr="007B1FD3">
        <w:tc>
          <w:tcPr>
            <w:tcW w:w="1122" w:type="dxa"/>
            <w:tcBorders>
              <w:top w:val="single" w:sz="4" w:space="0" w:color="auto"/>
              <w:left w:val="single" w:sz="4" w:space="0" w:color="auto"/>
              <w:bottom w:val="single" w:sz="4" w:space="0" w:color="auto"/>
              <w:right w:val="single" w:sz="4" w:space="0" w:color="auto"/>
            </w:tcBorders>
          </w:tcPr>
          <w:p w14:paraId="504B12E7" w14:textId="77777777" w:rsidR="00222470" w:rsidDel="00222470" w:rsidRDefault="00222470" w:rsidP="00C97C36">
            <w:r>
              <w:t>C1767</w:t>
            </w:r>
          </w:p>
        </w:tc>
        <w:tc>
          <w:tcPr>
            <w:tcW w:w="8503" w:type="dxa"/>
            <w:tcBorders>
              <w:top w:val="single" w:sz="4" w:space="0" w:color="auto"/>
              <w:left w:val="single" w:sz="4" w:space="0" w:color="auto"/>
              <w:bottom w:val="single" w:sz="4" w:space="0" w:color="auto"/>
              <w:right w:val="single" w:sz="4" w:space="0" w:color="auto"/>
            </w:tcBorders>
          </w:tcPr>
          <w:p w14:paraId="504B12E8" w14:textId="77777777" w:rsidR="00222470" w:rsidRPr="003C704D" w:rsidDel="00222470" w:rsidRDefault="00222470" w:rsidP="00C97C36">
            <w:pPr>
              <w:tabs>
                <w:tab w:val="left" w:pos="942"/>
              </w:tabs>
              <w:rPr>
                <w:bCs/>
              </w:rPr>
            </w:pPr>
            <w:r w:rsidRPr="00222470">
              <w:rPr>
                <w:bCs/>
              </w:rPr>
              <w:t>Generator, neurostimulator (implantable), nonrechargeable</w:t>
            </w:r>
          </w:p>
        </w:tc>
      </w:tr>
      <w:tr w:rsidR="00222470" w14:paraId="504B12EC" w14:textId="77777777" w:rsidTr="007B1FD3">
        <w:tc>
          <w:tcPr>
            <w:tcW w:w="1122" w:type="dxa"/>
            <w:tcBorders>
              <w:top w:val="single" w:sz="4" w:space="0" w:color="auto"/>
              <w:left w:val="single" w:sz="4" w:space="0" w:color="auto"/>
              <w:bottom w:val="single" w:sz="4" w:space="0" w:color="auto"/>
              <w:right w:val="single" w:sz="4" w:space="0" w:color="auto"/>
            </w:tcBorders>
          </w:tcPr>
          <w:p w14:paraId="504B12EA" w14:textId="77777777" w:rsidR="00222470" w:rsidRDefault="00222470" w:rsidP="00C97C36">
            <w:r>
              <w:t>C1778</w:t>
            </w:r>
          </w:p>
        </w:tc>
        <w:tc>
          <w:tcPr>
            <w:tcW w:w="8503" w:type="dxa"/>
            <w:tcBorders>
              <w:top w:val="single" w:sz="4" w:space="0" w:color="auto"/>
              <w:left w:val="single" w:sz="4" w:space="0" w:color="auto"/>
              <w:bottom w:val="single" w:sz="4" w:space="0" w:color="auto"/>
              <w:right w:val="single" w:sz="4" w:space="0" w:color="auto"/>
            </w:tcBorders>
          </w:tcPr>
          <w:p w14:paraId="504B12EB" w14:textId="77777777" w:rsidR="00222470" w:rsidRPr="00222470" w:rsidRDefault="00222470" w:rsidP="00C97C36">
            <w:pPr>
              <w:tabs>
                <w:tab w:val="left" w:pos="942"/>
              </w:tabs>
              <w:rPr>
                <w:bCs/>
              </w:rPr>
            </w:pPr>
            <w:r w:rsidRPr="00222470">
              <w:rPr>
                <w:bCs/>
              </w:rPr>
              <w:t>Lead, neurostimulator (implantable)</w:t>
            </w:r>
          </w:p>
        </w:tc>
      </w:tr>
      <w:tr w:rsidR="00222470" w14:paraId="504B12EF" w14:textId="77777777" w:rsidTr="007B1FD3">
        <w:tc>
          <w:tcPr>
            <w:tcW w:w="1122" w:type="dxa"/>
            <w:tcBorders>
              <w:top w:val="single" w:sz="4" w:space="0" w:color="auto"/>
              <w:left w:val="single" w:sz="4" w:space="0" w:color="auto"/>
              <w:bottom w:val="single" w:sz="4" w:space="0" w:color="auto"/>
              <w:right w:val="single" w:sz="4" w:space="0" w:color="auto"/>
            </w:tcBorders>
          </w:tcPr>
          <w:p w14:paraId="504B12ED" w14:textId="5CEC9254" w:rsidR="00222470" w:rsidRDefault="00222470" w:rsidP="00B20D5E">
            <w:r>
              <w:t>L86</w:t>
            </w:r>
            <w:r w:rsidR="00B20D5E">
              <w:t>7</w:t>
            </w:r>
            <w:r>
              <w:t>9</w:t>
            </w:r>
          </w:p>
        </w:tc>
        <w:tc>
          <w:tcPr>
            <w:tcW w:w="8503" w:type="dxa"/>
            <w:tcBorders>
              <w:top w:val="single" w:sz="4" w:space="0" w:color="auto"/>
              <w:left w:val="single" w:sz="4" w:space="0" w:color="auto"/>
              <w:bottom w:val="single" w:sz="4" w:space="0" w:color="auto"/>
              <w:right w:val="single" w:sz="4" w:space="0" w:color="auto"/>
            </w:tcBorders>
          </w:tcPr>
          <w:p w14:paraId="504B12EE" w14:textId="77777777" w:rsidR="00222470" w:rsidRPr="00222470" w:rsidRDefault="00222470" w:rsidP="00C97C36">
            <w:pPr>
              <w:tabs>
                <w:tab w:val="left" w:pos="942"/>
              </w:tabs>
              <w:rPr>
                <w:bCs/>
              </w:rPr>
            </w:pPr>
            <w:r w:rsidRPr="00222470">
              <w:rPr>
                <w:bCs/>
              </w:rPr>
              <w:t>Implantable neurostimulator, pulse generator, any type</w:t>
            </w:r>
          </w:p>
        </w:tc>
      </w:tr>
      <w:tr w:rsidR="00222470" w14:paraId="504B12F2" w14:textId="77777777" w:rsidTr="007B1FD3">
        <w:tc>
          <w:tcPr>
            <w:tcW w:w="1122" w:type="dxa"/>
            <w:tcBorders>
              <w:top w:val="single" w:sz="4" w:space="0" w:color="auto"/>
              <w:left w:val="single" w:sz="4" w:space="0" w:color="auto"/>
              <w:bottom w:val="single" w:sz="4" w:space="0" w:color="auto"/>
              <w:right w:val="single" w:sz="4" w:space="0" w:color="auto"/>
            </w:tcBorders>
          </w:tcPr>
          <w:p w14:paraId="504B12F0" w14:textId="77777777" w:rsidR="00222470" w:rsidRDefault="00222470" w:rsidP="00C97C36">
            <w:r>
              <w:t>L8680</w:t>
            </w:r>
          </w:p>
        </w:tc>
        <w:tc>
          <w:tcPr>
            <w:tcW w:w="8503" w:type="dxa"/>
            <w:tcBorders>
              <w:top w:val="single" w:sz="4" w:space="0" w:color="auto"/>
              <w:left w:val="single" w:sz="4" w:space="0" w:color="auto"/>
              <w:bottom w:val="single" w:sz="4" w:space="0" w:color="auto"/>
              <w:right w:val="single" w:sz="4" w:space="0" w:color="auto"/>
            </w:tcBorders>
          </w:tcPr>
          <w:p w14:paraId="504B12F1" w14:textId="77777777" w:rsidR="00222470" w:rsidRPr="00222470" w:rsidRDefault="00222470" w:rsidP="00C97C36">
            <w:pPr>
              <w:tabs>
                <w:tab w:val="left" w:pos="942"/>
              </w:tabs>
              <w:rPr>
                <w:bCs/>
              </w:rPr>
            </w:pPr>
            <w:r w:rsidRPr="00222470">
              <w:rPr>
                <w:bCs/>
              </w:rPr>
              <w:t>Implantable neurostimulator electrode, each</w:t>
            </w:r>
          </w:p>
        </w:tc>
      </w:tr>
      <w:tr w:rsidR="00222470" w14:paraId="504B12F5" w14:textId="77777777" w:rsidTr="007B1FD3">
        <w:tc>
          <w:tcPr>
            <w:tcW w:w="1122" w:type="dxa"/>
            <w:tcBorders>
              <w:top w:val="single" w:sz="4" w:space="0" w:color="auto"/>
              <w:left w:val="single" w:sz="4" w:space="0" w:color="auto"/>
              <w:bottom w:val="single" w:sz="4" w:space="0" w:color="auto"/>
              <w:right w:val="single" w:sz="4" w:space="0" w:color="auto"/>
            </w:tcBorders>
          </w:tcPr>
          <w:p w14:paraId="504B12F3" w14:textId="77777777" w:rsidR="00222470" w:rsidRDefault="00222470" w:rsidP="00C97C36">
            <w:r>
              <w:t>L8688</w:t>
            </w:r>
          </w:p>
        </w:tc>
        <w:tc>
          <w:tcPr>
            <w:tcW w:w="8503" w:type="dxa"/>
            <w:tcBorders>
              <w:top w:val="single" w:sz="4" w:space="0" w:color="auto"/>
              <w:left w:val="single" w:sz="4" w:space="0" w:color="auto"/>
              <w:bottom w:val="single" w:sz="4" w:space="0" w:color="auto"/>
              <w:right w:val="single" w:sz="4" w:space="0" w:color="auto"/>
            </w:tcBorders>
          </w:tcPr>
          <w:p w14:paraId="504B12F4" w14:textId="77777777" w:rsidR="00222470" w:rsidRPr="00222470" w:rsidRDefault="00222470" w:rsidP="00C97C36">
            <w:pPr>
              <w:tabs>
                <w:tab w:val="left" w:pos="942"/>
              </w:tabs>
              <w:rPr>
                <w:bCs/>
              </w:rPr>
            </w:pPr>
            <w:r w:rsidRPr="00222470">
              <w:rPr>
                <w:bCs/>
              </w:rPr>
              <w:t>Implantable neurostimulator pulse generator, dual array, nonrechargeable, includes extension</w:t>
            </w:r>
          </w:p>
        </w:tc>
      </w:tr>
    </w:tbl>
    <w:p w14:paraId="504B12F6" w14:textId="77777777" w:rsidR="003412F5" w:rsidRDefault="003412F5" w:rsidP="003412F5"/>
    <w:p w14:paraId="504B12F7" w14:textId="77777777" w:rsidR="003412F5" w:rsidRDefault="003412F5" w:rsidP="003412F5">
      <w:pPr>
        <w:rPr>
          <w:b/>
        </w:rPr>
      </w:pPr>
      <w:r>
        <w:rPr>
          <w:b/>
        </w:rPr>
        <w:t>ICD-10-CM Diagnosis Codes that Support Coverage Criteria</w:t>
      </w:r>
    </w:p>
    <w:tbl>
      <w:tblPr>
        <w:tblStyle w:val="TableGrid"/>
        <w:tblW w:w="5147" w:type="pct"/>
        <w:tblLook w:val="0020" w:firstRow="1" w:lastRow="0" w:firstColumn="0" w:lastColumn="0" w:noHBand="0" w:noVBand="0"/>
      </w:tblPr>
      <w:tblGrid>
        <w:gridCol w:w="1588"/>
        <w:gridCol w:w="8037"/>
      </w:tblGrid>
      <w:tr w:rsidR="003412F5" w14:paraId="504B12FA" w14:textId="77777777" w:rsidTr="007B1FD3">
        <w:trPr>
          <w:tblHeader/>
        </w:trPr>
        <w:tc>
          <w:tcPr>
            <w:tcW w:w="1588" w:type="dxa"/>
            <w:tcBorders>
              <w:top w:val="single" w:sz="4" w:space="0" w:color="auto"/>
              <w:left w:val="single" w:sz="4" w:space="0" w:color="auto"/>
              <w:bottom w:val="single" w:sz="4" w:space="0" w:color="auto"/>
              <w:right w:val="single" w:sz="4" w:space="0" w:color="auto"/>
            </w:tcBorders>
            <w:shd w:val="clear" w:color="auto" w:fill="00548C"/>
            <w:hideMark/>
          </w:tcPr>
          <w:p w14:paraId="504B12F8" w14:textId="77777777" w:rsidR="003412F5" w:rsidRDefault="003412F5" w:rsidP="00C97C36">
            <w:pPr>
              <w:rPr>
                <w:b/>
                <w:bCs/>
                <w:color w:val="FFFFFF"/>
              </w:rPr>
            </w:pPr>
            <w:r>
              <w:rPr>
                <w:b/>
                <w:color w:val="FFFFFF"/>
              </w:rPr>
              <w:t>ICD-10-CM Code</w:t>
            </w:r>
          </w:p>
        </w:tc>
        <w:tc>
          <w:tcPr>
            <w:tcW w:w="8037" w:type="dxa"/>
            <w:tcBorders>
              <w:top w:val="single" w:sz="4" w:space="0" w:color="auto"/>
              <w:left w:val="single" w:sz="4" w:space="0" w:color="auto"/>
              <w:bottom w:val="single" w:sz="4" w:space="0" w:color="auto"/>
              <w:right w:val="single" w:sz="4" w:space="0" w:color="auto"/>
            </w:tcBorders>
            <w:shd w:val="clear" w:color="auto" w:fill="00548C"/>
            <w:hideMark/>
          </w:tcPr>
          <w:p w14:paraId="504B12F9" w14:textId="77777777" w:rsidR="003412F5" w:rsidRDefault="003412F5" w:rsidP="00C97C36">
            <w:pPr>
              <w:rPr>
                <w:b/>
                <w:bCs/>
                <w:color w:val="FFFFFF"/>
              </w:rPr>
            </w:pPr>
            <w:r>
              <w:rPr>
                <w:b/>
                <w:color w:val="FFFFFF"/>
              </w:rPr>
              <w:t>Description</w:t>
            </w:r>
          </w:p>
        </w:tc>
      </w:tr>
      <w:tr w:rsidR="003412F5" w14:paraId="504B12FE" w14:textId="77777777" w:rsidTr="007B1FD3">
        <w:tc>
          <w:tcPr>
            <w:tcW w:w="1588" w:type="dxa"/>
            <w:tcBorders>
              <w:top w:val="single" w:sz="4" w:space="0" w:color="auto"/>
              <w:left w:val="single" w:sz="4" w:space="0" w:color="auto"/>
              <w:bottom w:val="single" w:sz="4" w:space="0" w:color="auto"/>
              <w:right w:val="single" w:sz="4" w:space="0" w:color="auto"/>
            </w:tcBorders>
          </w:tcPr>
          <w:p w14:paraId="504B12FB" w14:textId="77777777" w:rsidR="003412F5" w:rsidRPr="00083266" w:rsidRDefault="003412F5" w:rsidP="00C97C36">
            <w:pPr>
              <w:rPr>
                <w:bCs/>
              </w:rPr>
            </w:pPr>
            <w:r w:rsidRPr="00083266">
              <w:t>E08.43</w:t>
            </w:r>
          </w:p>
        </w:tc>
        <w:tc>
          <w:tcPr>
            <w:tcW w:w="8037" w:type="dxa"/>
            <w:tcBorders>
              <w:top w:val="single" w:sz="4" w:space="0" w:color="auto"/>
              <w:left w:val="single" w:sz="4" w:space="0" w:color="auto"/>
              <w:bottom w:val="single" w:sz="4" w:space="0" w:color="auto"/>
              <w:right w:val="single" w:sz="4" w:space="0" w:color="auto"/>
            </w:tcBorders>
          </w:tcPr>
          <w:p w14:paraId="504B12FC" w14:textId="77777777" w:rsidR="003412F5" w:rsidRPr="00083266" w:rsidRDefault="003412F5" w:rsidP="00C97C36">
            <w:pPr>
              <w:rPr>
                <w:bCs/>
              </w:rPr>
            </w:pPr>
            <w:r w:rsidRPr="00083266">
              <w:rPr>
                <w:bCs/>
              </w:rPr>
              <w:t>Diabetes mellitus due to underlying condition with</w:t>
            </w:r>
          </w:p>
          <w:p w14:paraId="504B12FD" w14:textId="77777777" w:rsidR="003412F5" w:rsidRPr="00083266" w:rsidRDefault="003412F5" w:rsidP="00C97C36">
            <w:pPr>
              <w:rPr>
                <w:bCs/>
              </w:rPr>
            </w:pPr>
            <w:r w:rsidRPr="00083266">
              <w:rPr>
                <w:bCs/>
              </w:rPr>
              <w:t>diabetic autonomic (poly) neuropathy</w:t>
            </w:r>
          </w:p>
        </w:tc>
      </w:tr>
      <w:tr w:rsidR="003412F5" w14:paraId="504B1301" w14:textId="77777777" w:rsidTr="007B1FD3">
        <w:tc>
          <w:tcPr>
            <w:tcW w:w="1588" w:type="dxa"/>
            <w:tcBorders>
              <w:top w:val="single" w:sz="4" w:space="0" w:color="auto"/>
              <w:left w:val="single" w:sz="4" w:space="0" w:color="auto"/>
              <w:bottom w:val="single" w:sz="4" w:space="0" w:color="auto"/>
              <w:right w:val="single" w:sz="4" w:space="0" w:color="auto"/>
            </w:tcBorders>
          </w:tcPr>
          <w:p w14:paraId="504B12FF" w14:textId="77777777" w:rsidR="003412F5" w:rsidRPr="00083266" w:rsidRDefault="003412F5" w:rsidP="00C97C36">
            <w:pPr>
              <w:rPr>
                <w:bCs/>
              </w:rPr>
            </w:pPr>
            <w:r w:rsidRPr="00083266">
              <w:t>E09.43</w:t>
            </w:r>
            <w:r w:rsidRPr="00083266">
              <w:tab/>
            </w:r>
          </w:p>
        </w:tc>
        <w:tc>
          <w:tcPr>
            <w:tcW w:w="8037" w:type="dxa"/>
            <w:tcBorders>
              <w:top w:val="single" w:sz="4" w:space="0" w:color="auto"/>
              <w:left w:val="single" w:sz="4" w:space="0" w:color="auto"/>
              <w:bottom w:val="single" w:sz="4" w:space="0" w:color="auto"/>
              <w:right w:val="single" w:sz="4" w:space="0" w:color="auto"/>
            </w:tcBorders>
          </w:tcPr>
          <w:p w14:paraId="504B1300" w14:textId="77777777" w:rsidR="003412F5" w:rsidRPr="00083266" w:rsidRDefault="003412F5" w:rsidP="00C97C36">
            <w:pPr>
              <w:rPr>
                <w:bCs/>
              </w:rPr>
            </w:pPr>
            <w:r w:rsidRPr="00083266">
              <w:rPr>
                <w:bCs/>
              </w:rPr>
              <w:t>Drug or chemical induced diabetes mellitus with neurological complications with diabetic autonomic (poly) neuropathy</w:t>
            </w:r>
          </w:p>
        </w:tc>
      </w:tr>
      <w:tr w:rsidR="003412F5" w14:paraId="504B1305" w14:textId="77777777" w:rsidTr="007B1FD3">
        <w:tc>
          <w:tcPr>
            <w:tcW w:w="1588" w:type="dxa"/>
            <w:tcBorders>
              <w:top w:val="single" w:sz="4" w:space="0" w:color="auto"/>
              <w:left w:val="single" w:sz="4" w:space="0" w:color="auto"/>
              <w:bottom w:val="single" w:sz="4" w:space="0" w:color="auto"/>
              <w:right w:val="single" w:sz="4" w:space="0" w:color="auto"/>
            </w:tcBorders>
          </w:tcPr>
          <w:p w14:paraId="504B1302" w14:textId="77777777" w:rsidR="003412F5" w:rsidRPr="00083266" w:rsidRDefault="003412F5" w:rsidP="00C97C36">
            <w:pPr>
              <w:rPr>
                <w:bCs/>
              </w:rPr>
            </w:pPr>
            <w:r w:rsidRPr="00083266">
              <w:t>E10.43</w:t>
            </w:r>
            <w:r w:rsidRPr="00083266">
              <w:tab/>
            </w:r>
          </w:p>
        </w:tc>
        <w:tc>
          <w:tcPr>
            <w:tcW w:w="8037" w:type="dxa"/>
            <w:tcBorders>
              <w:top w:val="single" w:sz="4" w:space="0" w:color="auto"/>
              <w:left w:val="single" w:sz="4" w:space="0" w:color="auto"/>
              <w:bottom w:val="single" w:sz="4" w:space="0" w:color="auto"/>
              <w:right w:val="single" w:sz="4" w:space="0" w:color="auto"/>
            </w:tcBorders>
          </w:tcPr>
          <w:p w14:paraId="504B1303" w14:textId="77777777" w:rsidR="003412F5" w:rsidRPr="00083266" w:rsidRDefault="003412F5" w:rsidP="00C97C36">
            <w:pPr>
              <w:rPr>
                <w:bCs/>
              </w:rPr>
            </w:pPr>
            <w:r w:rsidRPr="00083266">
              <w:rPr>
                <w:bCs/>
              </w:rPr>
              <w:t>Type I diabetes mellitus with diabetic autonomic (poly)</w:t>
            </w:r>
          </w:p>
          <w:p w14:paraId="504B1304" w14:textId="77777777" w:rsidR="003412F5" w:rsidRPr="00083266" w:rsidRDefault="003412F5" w:rsidP="00C97C36">
            <w:pPr>
              <w:rPr>
                <w:bCs/>
              </w:rPr>
            </w:pPr>
            <w:r w:rsidRPr="00083266">
              <w:rPr>
                <w:bCs/>
              </w:rPr>
              <w:t>neuropathy</w:t>
            </w:r>
          </w:p>
        </w:tc>
      </w:tr>
      <w:tr w:rsidR="003412F5" w14:paraId="504B1309" w14:textId="77777777" w:rsidTr="007B1FD3">
        <w:tc>
          <w:tcPr>
            <w:tcW w:w="1588" w:type="dxa"/>
            <w:tcBorders>
              <w:top w:val="single" w:sz="4" w:space="0" w:color="auto"/>
              <w:left w:val="single" w:sz="4" w:space="0" w:color="auto"/>
              <w:bottom w:val="single" w:sz="4" w:space="0" w:color="auto"/>
              <w:right w:val="single" w:sz="4" w:space="0" w:color="auto"/>
            </w:tcBorders>
          </w:tcPr>
          <w:p w14:paraId="504B1306" w14:textId="77777777" w:rsidR="003412F5" w:rsidRPr="00083266" w:rsidRDefault="003412F5" w:rsidP="00C97C36">
            <w:pPr>
              <w:rPr>
                <w:bCs/>
              </w:rPr>
            </w:pPr>
            <w:r w:rsidRPr="00083266">
              <w:rPr>
                <w:bCs/>
              </w:rPr>
              <w:t>E11.43</w:t>
            </w:r>
            <w:r w:rsidRPr="00083266">
              <w:rPr>
                <w:bCs/>
              </w:rPr>
              <w:tab/>
            </w:r>
          </w:p>
        </w:tc>
        <w:tc>
          <w:tcPr>
            <w:tcW w:w="8037" w:type="dxa"/>
            <w:tcBorders>
              <w:top w:val="single" w:sz="4" w:space="0" w:color="auto"/>
              <w:left w:val="single" w:sz="4" w:space="0" w:color="auto"/>
              <w:bottom w:val="single" w:sz="4" w:space="0" w:color="auto"/>
              <w:right w:val="single" w:sz="4" w:space="0" w:color="auto"/>
            </w:tcBorders>
          </w:tcPr>
          <w:p w14:paraId="504B1307" w14:textId="77777777" w:rsidR="003412F5" w:rsidRPr="00083266" w:rsidRDefault="003412F5" w:rsidP="00C97C36">
            <w:pPr>
              <w:rPr>
                <w:bCs/>
              </w:rPr>
            </w:pPr>
            <w:r w:rsidRPr="00083266">
              <w:rPr>
                <w:bCs/>
              </w:rPr>
              <w:t>Other specified diabetes mellitus with diabetic autonomic</w:t>
            </w:r>
          </w:p>
          <w:p w14:paraId="504B1308" w14:textId="77777777" w:rsidR="003412F5" w:rsidRPr="00083266" w:rsidRDefault="003412F5" w:rsidP="00C97C36">
            <w:pPr>
              <w:rPr>
                <w:bCs/>
              </w:rPr>
            </w:pPr>
            <w:r w:rsidRPr="00083266">
              <w:rPr>
                <w:bCs/>
              </w:rPr>
              <w:t>(poly) neuropathy</w:t>
            </w:r>
          </w:p>
        </w:tc>
      </w:tr>
      <w:tr w:rsidR="003412F5" w14:paraId="504B130D" w14:textId="77777777" w:rsidTr="007B1FD3">
        <w:tc>
          <w:tcPr>
            <w:tcW w:w="1588" w:type="dxa"/>
            <w:tcBorders>
              <w:top w:val="single" w:sz="4" w:space="0" w:color="auto"/>
              <w:left w:val="single" w:sz="4" w:space="0" w:color="auto"/>
              <w:bottom w:val="single" w:sz="4" w:space="0" w:color="auto"/>
              <w:right w:val="single" w:sz="4" w:space="0" w:color="auto"/>
            </w:tcBorders>
          </w:tcPr>
          <w:p w14:paraId="504B130A" w14:textId="77777777" w:rsidR="003412F5" w:rsidRPr="00083266" w:rsidRDefault="003412F5" w:rsidP="00C97C36">
            <w:pPr>
              <w:rPr>
                <w:bCs/>
              </w:rPr>
            </w:pPr>
            <w:r w:rsidRPr="00083266">
              <w:lastRenderedPageBreak/>
              <w:t>E13.43</w:t>
            </w:r>
            <w:r w:rsidRPr="00083266">
              <w:tab/>
            </w:r>
          </w:p>
        </w:tc>
        <w:tc>
          <w:tcPr>
            <w:tcW w:w="8037" w:type="dxa"/>
            <w:tcBorders>
              <w:top w:val="single" w:sz="4" w:space="0" w:color="auto"/>
              <w:left w:val="single" w:sz="4" w:space="0" w:color="auto"/>
              <w:bottom w:val="single" w:sz="4" w:space="0" w:color="auto"/>
              <w:right w:val="single" w:sz="4" w:space="0" w:color="auto"/>
            </w:tcBorders>
          </w:tcPr>
          <w:p w14:paraId="504B130B" w14:textId="77777777" w:rsidR="003412F5" w:rsidRPr="00083266" w:rsidRDefault="003412F5" w:rsidP="00C97C36">
            <w:pPr>
              <w:rPr>
                <w:bCs/>
              </w:rPr>
            </w:pPr>
            <w:r w:rsidRPr="00083266">
              <w:rPr>
                <w:bCs/>
              </w:rPr>
              <w:t>Other specified diabetes mellitus with diabetic autonomic</w:t>
            </w:r>
          </w:p>
          <w:p w14:paraId="504B130C" w14:textId="77777777" w:rsidR="003412F5" w:rsidRPr="00083266" w:rsidRDefault="003412F5" w:rsidP="00C97C36">
            <w:pPr>
              <w:rPr>
                <w:bCs/>
              </w:rPr>
            </w:pPr>
            <w:r w:rsidRPr="00083266">
              <w:rPr>
                <w:bCs/>
              </w:rPr>
              <w:t>(poly) neuropathy</w:t>
            </w:r>
          </w:p>
        </w:tc>
      </w:tr>
      <w:tr w:rsidR="003412F5" w14:paraId="504B1310" w14:textId="77777777" w:rsidTr="007B1FD3">
        <w:tc>
          <w:tcPr>
            <w:tcW w:w="1588" w:type="dxa"/>
            <w:tcBorders>
              <w:top w:val="single" w:sz="4" w:space="0" w:color="auto"/>
              <w:left w:val="single" w:sz="4" w:space="0" w:color="auto"/>
              <w:bottom w:val="single" w:sz="4" w:space="0" w:color="auto"/>
              <w:right w:val="single" w:sz="4" w:space="0" w:color="auto"/>
            </w:tcBorders>
          </w:tcPr>
          <w:p w14:paraId="504B130E" w14:textId="77777777" w:rsidR="003412F5" w:rsidRPr="00083266" w:rsidRDefault="003412F5" w:rsidP="00C97C36">
            <w:pPr>
              <w:rPr>
                <w:bCs/>
              </w:rPr>
            </w:pPr>
            <w:r w:rsidRPr="00083266">
              <w:t>K31.84</w:t>
            </w:r>
          </w:p>
        </w:tc>
        <w:tc>
          <w:tcPr>
            <w:tcW w:w="8037" w:type="dxa"/>
            <w:tcBorders>
              <w:top w:val="single" w:sz="4" w:space="0" w:color="auto"/>
              <w:left w:val="single" w:sz="4" w:space="0" w:color="auto"/>
              <w:bottom w:val="single" w:sz="4" w:space="0" w:color="auto"/>
              <w:right w:val="single" w:sz="4" w:space="0" w:color="auto"/>
            </w:tcBorders>
          </w:tcPr>
          <w:p w14:paraId="504B130F" w14:textId="77777777" w:rsidR="003412F5" w:rsidRPr="00083266" w:rsidRDefault="003412F5" w:rsidP="00C97C36">
            <w:pPr>
              <w:pStyle w:val="PlainText"/>
              <w:rPr>
                <w:rFonts w:ascii="Times New Roman" w:hAnsi="Times New Roman" w:cs="Times New Roman"/>
                <w:sz w:val="24"/>
                <w:szCs w:val="24"/>
              </w:rPr>
            </w:pPr>
            <w:r w:rsidRPr="00083266">
              <w:rPr>
                <w:rFonts w:ascii="Times New Roman" w:hAnsi="Times New Roman" w:cs="Times New Roman"/>
                <w:sz w:val="24"/>
                <w:szCs w:val="24"/>
              </w:rPr>
              <w:t>Gastroparesis</w:t>
            </w:r>
          </w:p>
        </w:tc>
      </w:tr>
      <w:tr w:rsidR="003B1937" w14:paraId="2FE5C9A8" w14:textId="77777777" w:rsidTr="007B1FD3">
        <w:tc>
          <w:tcPr>
            <w:tcW w:w="1588" w:type="dxa"/>
            <w:tcBorders>
              <w:top w:val="single" w:sz="4" w:space="0" w:color="auto"/>
              <w:left w:val="single" w:sz="4" w:space="0" w:color="auto"/>
              <w:bottom w:val="single" w:sz="4" w:space="0" w:color="auto"/>
              <w:right w:val="single" w:sz="4" w:space="0" w:color="auto"/>
            </w:tcBorders>
          </w:tcPr>
          <w:p w14:paraId="777D83FA" w14:textId="6D6027AC" w:rsidR="003B1937" w:rsidRPr="00083266" w:rsidRDefault="003B1937" w:rsidP="00C97C36">
            <w:r>
              <w:t>K91.89</w:t>
            </w:r>
          </w:p>
        </w:tc>
        <w:tc>
          <w:tcPr>
            <w:tcW w:w="8037" w:type="dxa"/>
            <w:tcBorders>
              <w:top w:val="single" w:sz="4" w:space="0" w:color="auto"/>
              <w:left w:val="single" w:sz="4" w:space="0" w:color="auto"/>
              <w:bottom w:val="single" w:sz="4" w:space="0" w:color="auto"/>
              <w:right w:val="single" w:sz="4" w:space="0" w:color="auto"/>
            </w:tcBorders>
          </w:tcPr>
          <w:p w14:paraId="253CFDEA" w14:textId="53A2DFBB" w:rsidR="003B1937" w:rsidRPr="00083266" w:rsidRDefault="00C61529" w:rsidP="00C97C36">
            <w:pPr>
              <w:pStyle w:val="PlainText"/>
              <w:rPr>
                <w:rFonts w:ascii="Times New Roman" w:hAnsi="Times New Roman" w:cs="Times New Roman"/>
                <w:sz w:val="24"/>
                <w:szCs w:val="24"/>
              </w:rPr>
            </w:pPr>
            <w:r w:rsidRPr="00C61529">
              <w:rPr>
                <w:rFonts w:ascii="Times New Roman" w:hAnsi="Times New Roman" w:cs="Times New Roman"/>
                <w:sz w:val="24"/>
                <w:szCs w:val="24"/>
              </w:rPr>
              <w:t>Other postprocedural complications and disorders of digestive system</w:t>
            </w:r>
          </w:p>
        </w:tc>
      </w:tr>
    </w:tbl>
    <w:p w14:paraId="504B1311" w14:textId="77777777" w:rsidR="00AC4AD8" w:rsidRDefault="00AC4AD8"/>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504B1315"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504B1312"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04B1313"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504B1314"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1A587E" w14:paraId="504B131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04B1316" w14:textId="77777777" w:rsidR="001A587E" w:rsidRDefault="001A587E" w:rsidP="00BA76C2">
            <w:pPr>
              <w:tabs>
                <w:tab w:val="num" w:pos="720"/>
              </w:tabs>
            </w:pPr>
            <w:r>
              <w:t>References reviewed and updated.  Modified language regarding trial of antiemetic and prokinetic drug therapy.</w:t>
            </w:r>
          </w:p>
        </w:tc>
        <w:tc>
          <w:tcPr>
            <w:tcW w:w="810" w:type="dxa"/>
          </w:tcPr>
          <w:p w14:paraId="504B1317" w14:textId="77777777" w:rsidR="001A587E" w:rsidRDefault="001A587E" w:rsidP="00BA76C2">
            <w:pPr>
              <w:cnfStyle w:val="000000100000" w:firstRow="0" w:lastRow="0" w:firstColumn="0" w:lastColumn="0" w:oddVBand="0" w:evenVBand="0" w:oddHBand="1" w:evenHBand="0" w:firstRowFirstColumn="0" w:firstRowLastColumn="0" w:lastRowFirstColumn="0" w:lastRowLastColumn="0"/>
            </w:pPr>
            <w:r>
              <w:t>09/11</w:t>
            </w:r>
          </w:p>
        </w:tc>
        <w:tc>
          <w:tcPr>
            <w:cnfStyle w:val="000010000000" w:firstRow="0" w:lastRow="0" w:firstColumn="0" w:lastColumn="0" w:oddVBand="1" w:evenVBand="0" w:oddHBand="0" w:evenHBand="0" w:firstRowFirstColumn="0" w:firstRowLastColumn="0" w:lastRowFirstColumn="0" w:lastRowLastColumn="0"/>
            <w:tcW w:w="1260" w:type="dxa"/>
          </w:tcPr>
          <w:p w14:paraId="504B1318" w14:textId="77777777" w:rsidR="001A587E" w:rsidRDefault="001A587E" w:rsidP="00857C10">
            <w:pPr>
              <w:jc w:val="center"/>
            </w:pPr>
            <w:r>
              <w:t>11/11</w:t>
            </w:r>
          </w:p>
        </w:tc>
      </w:tr>
      <w:tr w:rsidR="001A587E" w14:paraId="504B131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04B131A" w14:textId="77777777" w:rsidR="001A587E" w:rsidRDefault="001A587E" w:rsidP="00BA76C2">
            <w:pPr>
              <w:tabs>
                <w:tab w:val="num" w:pos="720"/>
              </w:tabs>
            </w:pPr>
            <w:r w:rsidRPr="009C5DBB">
              <w:t>References reviewed and updated.</w:t>
            </w:r>
          </w:p>
        </w:tc>
        <w:tc>
          <w:tcPr>
            <w:tcW w:w="810" w:type="dxa"/>
          </w:tcPr>
          <w:p w14:paraId="504B131B" w14:textId="77777777" w:rsidR="001A587E" w:rsidRDefault="001A587E" w:rsidP="00BA76C2">
            <w:pPr>
              <w:cnfStyle w:val="000000000000" w:firstRow="0" w:lastRow="0" w:firstColumn="0" w:lastColumn="0" w:oddVBand="0" w:evenVBand="0" w:oddHBand="0" w:evenHBand="0" w:firstRowFirstColumn="0" w:firstRowLastColumn="0" w:lastRowFirstColumn="0" w:lastRowLastColumn="0"/>
            </w:pPr>
            <w:r>
              <w:t>12/12</w:t>
            </w:r>
          </w:p>
        </w:tc>
        <w:tc>
          <w:tcPr>
            <w:cnfStyle w:val="000010000000" w:firstRow="0" w:lastRow="0" w:firstColumn="0" w:lastColumn="0" w:oddVBand="1" w:evenVBand="0" w:oddHBand="0" w:evenHBand="0" w:firstRowFirstColumn="0" w:firstRowLastColumn="0" w:lastRowFirstColumn="0" w:lastRowLastColumn="0"/>
            <w:tcW w:w="1260" w:type="dxa"/>
          </w:tcPr>
          <w:p w14:paraId="504B131C" w14:textId="77777777" w:rsidR="001A587E" w:rsidRDefault="001A587E" w:rsidP="00857C10">
            <w:pPr>
              <w:jc w:val="center"/>
            </w:pPr>
            <w:r>
              <w:t>12/12</w:t>
            </w:r>
          </w:p>
        </w:tc>
      </w:tr>
      <w:tr w:rsidR="001A587E" w14:paraId="504B132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04B131E" w14:textId="77777777" w:rsidR="001A587E" w:rsidRPr="009C5DBB" w:rsidRDefault="001A587E" w:rsidP="00BA76C2">
            <w:pPr>
              <w:tabs>
                <w:tab w:val="num" w:pos="720"/>
              </w:tabs>
            </w:pPr>
            <w:r>
              <w:t>Clarified langue in bullet points under Policy/Criteria</w:t>
            </w:r>
          </w:p>
        </w:tc>
        <w:tc>
          <w:tcPr>
            <w:tcW w:w="810" w:type="dxa"/>
          </w:tcPr>
          <w:p w14:paraId="504B131F" w14:textId="77777777" w:rsidR="001A587E" w:rsidRDefault="001A587E" w:rsidP="00BA76C2">
            <w:pPr>
              <w:cnfStyle w:val="000000100000" w:firstRow="0" w:lastRow="0" w:firstColumn="0" w:lastColumn="0" w:oddVBand="0" w:evenVBand="0" w:oddHBand="1" w:evenHBand="0" w:firstRowFirstColumn="0" w:firstRowLastColumn="0" w:lastRowFirstColumn="0" w:lastRowLastColumn="0"/>
            </w:pPr>
            <w:r>
              <w:t>10/13</w:t>
            </w:r>
          </w:p>
        </w:tc>
        <w:tc>
          <w:tcPr>
            <w:cnfStyle w:val="000010000000" w:firstRow="0" w:lastRow="0" w:firstColumn="0" w:lastColumn="0" w:oddVBand="1" w:evenVBand="0" w:oddHBand="0" w:evenHBand="0" w:firstRowFirstColumn="0" w:firstRowLastColumn="0" w:lastRowFirstColumn="0" w:lastRowLastColumn="0"/>
            <w:tcW w:w="1260" w:type="dxa"/>
          </w:tcPr>
          <w:p w14:paraId="504B1320" w14:textId="77777777" w:rsidR="001A587E" w:rsidRDefault="001A587E" w:rsidP="00857C10">
            <w:pPr>
              <w:jc w:val="center"/>
            </w:pPr>
            <w:r>
              <w:t>10/13</w:t>
            </w:r>
          </w:p>
        </w:tc>
      </w:tr>
      <w:tr w:rsidR="001A587E" w14:paraId="504B132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04B1322" w14:textId="77777777" w:rsidR="001A587E" w:rsidRDefault="001A587E" w:rsidP="00BA76C2">
            <w:pPr>
              <w:tabs>
                <w:tab w:val="num" w:pos="720"/>
              </w:tabs>
            </w:pPr>
            <w:r>
              <w:t>References and coding reviewed and updated</w:t>
            </w:r>
          </w:p>
        </w:tc>
        <w:tc>
          <w:tcPr>
            <w:tcW w:w="810" w:type="dxa"/>
          </w:tcPr>
          <w:p w14:paraId="504B1323" w14:textId="77777777" w:rsidR="001A587E" w:rsidRDefault="001A587E" w:rsidP="00BA76C2">
            <w:pPr>
              <w:cnfStyle w:val="000000000000" w:firstRow="0" w:lastRow="0" w:firstColumn="0" w:lastColumn="0" w:oddVBand="0" w:evenVBand="0" w:oddHBand="0" w:evenHBand="0" w:firstRowFirstColumn="0" w:firstRowLastColumn="0" w:lastRowFirstColumn="0" w:lastRowLastColumn="0"/>
            </w:pPr>
            <w:r>
              <w:t>10/14</w:t>
            </w:r>
          </w:p>
        </w:tc>
        <w:tc>
          <w:tcPr>
            <w:cnfStyle w:val="000010000000" w:firstRow="0" w:lastRow="0" w:firstColumn="0" w:lastColumn="0" w:oddVBand="1" w:evenVBand="0" w:oddHBand="0" w:evenHBand="0" w:firstRowFirstColumn="0" w:firstRowLastColumn="0" w:lastRowFirstColumn="0" w:lastRowLastColumn="0"/>
            <w:tcW w:w="1260" w:type="dxa"/>
          </w:tcPr>
          <w:p w14:paraId="504B1324" w14:textId="77777777" w:rsidR="001A587E" w:rsidRDefault="001A587E" w:rsidP="00857C10">
            <w:pPr>
              <w:jc w:val="center"/>
            </w:pPr>
            <w:r>
              <w:t>10/14</w:t>
            </w:r>
          </w:p>
        </w:tc>
      </w:tr>
      <w:tr w:rsidR="001A587E" w14:paraId="504B132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04B1326" w14:textId="77777777" w:rsidR="000E3074" w:rsidRDefault="000E3074" w:rsidP="000E3074">
            <w:pPr>
              <w:tabs>
                <w:tab w:val="num" w:pos="720"/>
              </w:tabs>
            </w:pPr>
            <w:r>
              <w:t xml:space="preserve">Converted into new template </w:t>
            </w:r>
          </w:p>
          <w:p w14:paraId="504B1327" w14:textId="77777777" w:rsidR="001A587E" w:rsidRDefault="001A587E" w:rsidP="000E3074">
            <w:pPr>
              <w:tabs>
                <w:tab w:val="num" w:pos="720"/>
              </w:tabs>
            </w:pPr>
            <w:r>
              <w:t>References &amp; coding reviewed and updated</w:t>
            </w:r>
          </w:p>
        </w:tc>
        <w:tc>
          <w:tcPr>
            <w:tcW w:w="810" w:type="dxa"/>
          </w:tcPr>
          <w:p w14:paraId="504B1328" w14:textId="77777777" w:rsidR="001A587E" w:rsidRDefault="001A587E" w:rsidP="00BA76C2">
            <w:pPr>
              <w:cnfStyle w:val="000000100000" w:firstRow="0" w:lastRow="0" w:firstColumn="0" w:lastColumn="0" w:oddVBand="0" w:evenVBand="0" w:oddHBand="1"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504B1329" w14:textId="77777777" w:rsidR="001A587E" w:rsidRDefault="0082484A" w:rsidP="00857C10">
            <w:pPr>
              <w:jc w:val="center"/>
            </w:pPr>
            <w:r>
              <w:t>10/15</w:t>
            </w:r>
          </w:p>
        </w:tc>
      </w:tr>
      <w:tr w:rsidR="00F21056" w14:paraId="504B132E"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04B132B" w14:textId="77777777" w:rsidR="00F21056" w:rsidRDefault="0000536D" w:rsidP="00083266">
            <w:pPr>
              <w:tabs>
                <w:tab w:val="num" w:pos="720"/>
              </w:tabs>
            </w:pPr>
            <w:r>
              <w:t xml:space="preserve">Added obesity as an investigational indication; added supporting background information. </w:t>
            </w:r>
            <w:r w:rsidR="0013227D">
              <w:t>Changed exclusions to contraindications in criteria.</w:t>
            </w:r>
          </w:p>
        </w:tc>
        <w:tc>
          <w:tcPr>
            <w:tcW w:w="810" w:type="dxa"/>
          </w:tcPr>
          <w:p w14:paraId="504B132C" w14:textId="77777777" w:rsidR="00F21056" w:rsidRDefault="00F21056" w:rsidP="00BA76C2">
            <w:pPr>
              <w:cnfStyle w:val="000000000000" w:firstRow="0" w:lastRow="0" w:firstColumn="0" w:lastColumn="0" w:oddVBand="0" w:evenVBand="0" w:oddHBand="0" w:evenHBand="0" w:firstRowFirstColumn="0" w:firstRowLastColumn="0" w:lastRowFirstColumn="0" w:lastRowLastColumn="0"/>
            </w:pPr>
            <w:r>
              <w:t>10/16</w:t>
            </w:r>
          </w:p>
        </w:tc>
        <w:tc>
          <w:tcPr>
            <w:cnfStyle w:val="000010000000" w:firstRow="0" w:lastRow="0" w:firstColumn="0" w:lastColumn="0" w:oddVBand="1" w:evenVBand="0" w:oddHBand="0" w:evenHBand="0" w:firstRowFirstColumn="0" w:firstRowLastColumn="0" w:lastRowFirstColumn="0" w:lastRowLastColumn="0"/>
            <w:tcW w:w="1260" w:type="dxa"/>
          </w:tcPr>
          <w:p w14:paraId="504B132D" w14:textId="77777777" w:rsidR="00F21056" w:rsidRDefault="0000536D" w:rsidP="00857C10">
            <w:pPr>
              <w:jc w:val="center"/>
            </w:pPr>
            <w:r>
              <w:t>10/16</w:t>
            </w:r>
          </w:p>
        </w:tc>
      </w:tr>
      <w:tr w:rsidR="00ED505E" w14:paraId="504B133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04B132F" w14:textId="77777777" w:rsidR="00222470" w:rsidRDefault="00611AFA" w:rsidP="00AF557E">
            <w:pPr>
              <w:tabs>
                <w:tab w:val="num" w:pos="720"/>
              </w:tabs>
            </w:pPr>
            <w:r>
              <w:t>Added criteria that gastroparesis shoul</w:t>
            </w:r>
            <w:r w:rsidR="00AF557E">
              <w:t xml:space="preserve">d be confirmed by scintigraphy. Modified criteria in I.B requiring daily vomiting to say that vomiting should happen at least once daily on </w:t>
            </w:r>
            <w:r w:rsidR="00AF557E" w:rsidRPr="00AF557E">
              <w:rPr>
                <w:i/>
              </w:rPr>
              <w:t>most days of the week</w:t>
            </w:r>
            <w:r w:rsidR="00AF557E">
              <w:t xml:space="preserve">. </w:t>
            </w:r>
            <w:r>
              <w:t>References reviewed and updated.</w:t>
            </w:r>
            <w:r w:rsidR="001B3357">
              <w:t xml:space="preserve"> </w:t>
            </w:r>
            <w:r w:rsidR="00222470">
              <w:t>Code</w:t>
            </w:r>
            <w:r w:rsidR="001B3357">
              <w:t>s</w:t>
            </w:r>
            <w:r w:rsidR="00222470">
              <w:t xml:space="preserve"> update</w:t>
            </w:r>
            <w:r w:rsidR="001B3357">
              <w:t>d.</w:t>
            </w:r>
          </w:p>
        </w:tc>
        <w:tc>
          <w:tcPr>
            <w:tcW w:w="810" w:type="dxa"/>
          </w:tcPr>
          <w:p w14:paraId="504B1330" w14:textId="77777777" w:rsidR="00ED505E" w:rsidRDefault="00611AFA" w:rsidP="00BA76C2">
            <w:pPr>
              <w:cnfStyle w:val="000000100000" w:firstRow="0" w:lastRow="0" w:firstColumn="0" w:lastColumn="0" w:oddVBand="0" w:evenVBand="0" w:oddHBand="1"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Pr>
          <w:p w14:paraId="504B1331" w14:textId="77777777" w:rsidR="00ED505E" w:rsidRDefault="00AF557E" w:rsidP="00857C10">
            <w:pPr>
              <w:jc w:val="center"/>
            </w:pPr>
            <w:r>
              <w:t>10/17</w:t>
            </w:r>
          </w:p>
        </w:tc>
      </w:tr>
      <w:tr w:rsidR="00154207" w14:paraId="57FFCB7C"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338BE30" w14:textId="6C78010A" w:rsidR="00914351" w:rsidRDefault="00914351" w:rsidP="00AF557E">
            <w:pPr>
              <w:tabs>
                <w:tab w:val="num" w:pos="720"/>
              </w:tabs>
            </w:pPr>
            <w:r>
              <w:t xml:space="preserve">Added “gastric </w:t>
            </w:r>
            <w:r w:rsidR="00554CE5">
              <w:t>emptying</w:t>
            </w:r>
            <w:r>
              <w:t>” to scintigraphy in I.A. for clarification.</w:t>
            </w:r>
          </w:p>
          <w:p w14:paraId="2EBB894B" w14:textId="2D97B205" w:rsidR="006756AE" w:rsidRDefault="00554CE5" w:rsidP="0049634A">
            <w:pPr>
              <w:tabs>
                <w:tab w:val="num" w:pos="720"/>
              </w:tabs>
            </w:pPr>
            <w:r>
              <w:t xml:space="preserve">Modified </w:t>
            </w:r>
            <w:r w:rsidR="00914351">
              <w:t>III.</w:t>
            </w:r>
            <w:r w:rsidR="006756AE">
              <w:t xml:space="preserve"> </w:t>
            </w:r>
            <w:r>
              <w:t>to s</w:t>
            </w:r>
            <w:r w:rsidR="0049634A">
              <w:t xml:space="preserve">tate </w:t>
            </w:r>
            <w:r>
              <w:t>th</w:t>
            </w:r>
            <w:r w:rsidR="006756AE">
              <w:t xml:space="preserve">at </w:t>
            </w:r>
            <w:r w:rsidR="006756AE" w:rsidRPr="006756AE">
              <w:t>GES is investigati</w:t>
            </w:r>
            <w:r>
              <w:t xml:space="preserve">onal for all other indications, </w:t>
            </w:r>
            <w:r w:rsidR="006756AE">
              <w:t xml:space="preserve">including but not limited to </w:t>
            </w:r>
            <w:r>
              <w:t xml:space="preserve">the treatment </w:t>
            </w:r>
            <w:r w:rsidR="006756AE">
              <w:t>obesity.  References and codes reviewed and updated</w:t>
            </w:r>
            <w:r>
              <w:t>.</w:t>
            </w:r>
          </w:p>
        </w:tc>
        <w:tc>
          <w:tcPr>
            <w:tcW w:w="810" w:type="dxa"/>
          </w:tcPr>
          <w:p w14:paraId="6B8EDF61" w14:textId="0B2E40B2" w:rsidR="00154207" w:rsidRDefault="00154207" w:rsidP="00BA76C2">
            <w:pPr>
              <w:cnfStyle w:val="000000000000" w:firstRow="0" w:lastRow="0" w:firstColumn="0" w:lastColumn="0" w:oddVBand="0" w:evenVBand="0" w:oddHBand="0"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Pr>
          <w:p w14:paraId="631C83F9" w14:textId="3A1E1CBA" w:rsidR="00154207" w:rsidRDefault="00B55E27" w:rsidP="002F20BA">
            <w:pPr>
              <w:jc w:val="center"/>
            </w:pPr>
            <w:r>
              <w:t>0</w:t>
            </w:r>
            <w:r w:rsidR="002F20BA">
              <w:t>9</w:t>
            </w:r>
            <w:r>
              <w:t>/18</w:t>
            </w:r>
          </w:p>
        </w:tc>
      </w:tr>
      <w:tr w:rsidR="00B64AE8" w14:paraId="05494E9E"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3E93C7F" w14:textId="1E546FB3" w:rsidR="00B64AE8" w:rsidRDefault="00B64AE8" w:rsidP="00AF557E">
            <w:pPr>
              <w:tabs>
                <w:tab w:val="num" w:pos="720"/>
              </w:tabs>
            </w:pPr>
            <w:r>
              <w:t>Reference reviewed and updated.</w:t>
            </w:r>
            <w:r w:rsidR="007B1FD3">
              <w:t xml:space="preserve"> Removed contraindications of alcohol dependency, dialysis, and cancer w/limited life span</w:t>
            </w:r>
            <w:r w:rsidR="00AC7EF9">
              <w:t>.</w:t>
            </w:r>
            <w:r w:rsidR="007325CC">
              <w:t xml:space="preserve">  Specialist review.</w:t>
            </w:r>
          </w:p>
        </w:tc>
        <w:tc>
          <w:tcPr>
            <w:tcW w:w="810" w:type="dxa"/>
          </w:tcPr>
          <w:p w14:paraId="35C2B283" w14:textId="53E0AB85" w:rsidR="00B64AE8" w:rsidRDefault="00B64AE8" w:rsidP="00BA76C2">
            <w:pPr>
              <w:cnfStyle w:val="000000100000" w:firstRow="0" w:lastRow="0" w:firstColumn="0" w:lastColumn="0" w:oddVBand="0" w:evenVBand="0" w:oddHBand="1"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094709A2" w14:textId="479310FB" w:rsidR="00B64AE8" w:rsidRDefault="009F1AE4" w:rsidP="002F20BA">
            <w:pPr>
              <w:jc w:val="center"/>
            </w:pPr>
            <w:r>
              <w:t>09/19</w:t>
            </w:r>
          </w:p>
        </w:tc>
      </w:tr>
    </w:tbl>
    <w:p w14:paraId="1C82B002" w14:textId="77777777" w:rsidR="002C720B" w:rsidRDefault="002C720B" w:rsidP="00963062">
      <w:pPr>
        <w:pStyle w:val="Heading3"/>
        <w:sectPr w:rsidR="002C720B" w:rsidSect="00480C09">
          <w:type w:val="continuous"/>
          <w:pgSz w:w="12240" w:h="15840" w:code="1"/>
          <w:pgMar w:top="1440" w:right="1440" w:bottom="1440" w:left="1440" w:header="576" w:footer="288" w:gutter="0"/>
          <w:cols w:space="720"/>
          <w:titlePg/>
          <w:docGrid w:linePitch="360"/>
        </w:sectPr>
      </w:pPr>
    </w:p>
    <w:p w14:paraId="504B1334" w14:textId="0C185507" w:rsidR="00963062" w:rsidRPr="00B777AF" w:rsidRDefault="00ED505E" w:rsidP="00963062">
      <w:pPr>
        <w:pStyle w:val="Heading3"/>
      </w:pPr>
      <w:r>
        <w:t>References</w:t>
      </w:r>
    </w:p>
    <w:p w14:paraId="504B1335" w14:textId="77777777" w:rsidR="001A587E" w:rsidRPr="00C05DE0" w:rsidRDefault="001A587E" w:rsidP="00C05DE0">
      <w:pPr>
        <w:pStyle w:val="ListParagraph"/>
        <w:numPr>
          <w:ilvl w:val="0"/>
          <w:numId w:val="12"/>
        </w:numPr>
        <w:ind w:left="360"/>
        <w:rPr>
          <w:bCs/>
        </w:rPr>
      </w:pPr>
      <w:r w:rsidRPr="00C05DE0">
        <w:rPr>
          <w:bCs/>
        </w:rPr>
        <w:t>Abell TL, et al.  Gastric electrical stimulation in intractable symptomatic gastroparesis.  Digestion; International Journal of Gastroenterology, (2002) 66:4.</w:t>
      </w:r>
    </w:p>
    <w:p w14:paraId="504B1336" w14:textId="7F365750" w:rsidR="001A587E" w:rsidRPr="00C05DE0" w:rsidRDefault="001A587E" w:rsidP="00C05DE0">
      <w:pPr>
        <w:pStyle w:val="ListParagraph"/>
        <w:numPr>
          <w:ilvl w:val="0"/>
          <w:numId w:val="12"/>
        </w:numPr>
        <w:ind w:left="360"/>
        <w:rPr>
          <w:bCs/>
        </w:rPr>
      </w:pPr>
      <w:r w:rsidRPr="00C05DE0">
        <w:rPr>
          <w:bCs/>
        </w:rPr>
        <w:t xml:space="preserve">Abell T, et al.  Gastric electrical stimulation for gastroparesis improves nutritional parameters at short, intermediate, and long-term follow-up.  Journal of Parenteral and Enteral Nutrition, (2003) 27:4, 277-281.  </w:t>
      </w:r>
      <w:hyperlink r:id="rId14" w:history="1">
        <w:r w:rsidR="0029443D" w:rsidRPr="0029443D">
          <w:rPr>
            <w:rStyle w:val="Hyperlink"/>
            <w:bCs/>
          </w:rPr>
          <w:t>htt</w:t>
        </w:r>
        <w:r w:rsidR="0029443D" w:rsidRPr="0029443D">
          <w:rPr>
            <w:rStyle w:val="Hyperlink"/>
            <w:bCs/>
          </w:rPr>
          <w:t>p</w:t>
        </w:r>
        <w:r w:rsidR="0029443D" w:rsidRPr="0029443D">
          <w:rPr>
            <w:rStyle w:val="Hyperlink"/>
            <w:bCs/>
          </w:rPr>
          <w:t>://pen.sagepub.com/cgi/content/abstract/27/4/277</w:t>
        </w:r>
      </w:hyperlink>
    </w:p>
    <w:p w14:paraId="504B1337" w14:textId="77777777" w:rsidR="001A587E" w:rsidRDefault="001A587E" w:rsidP="00C05DE0">
      <w:pPr>
        <w:pStyle w:val="ListParagraph"/>
        <w:numPr>
          <w:ilvl w:val="0"/>
          <w:numId w:val="12"/>
        </w:numPr>
        <w:ind w:left="360"/>
        <w:rPr>
          <w:bCs/>
        </w:rPr>
      </w:pPr>
      <w:r w:rsidRPr="00C05DE0">
        <w:rPr>
          <w:bCs/>
        </w:rPr>
        <w:t xml:space="preserve">Camilleri M, et al.  Clinical guideline: Management of gastroparesis.  </w:t>
      </w:r>
      <w:hyperlink r:id="rId15" w:tgtFrame="pmc_ext" w:history="1">
        <w:r w:rsidRPr="00C05DE0">
          <w:rPr>
            <w:bCs/>
          </w:rPr>
          <w:t>Am J Gastroenterol. 2013; 108: 18–37.</w:t>
        </w:r>
      </w:hyperlink>
      <w:r w:rsidRPr="00C05DE0">
        <w:rPr>
          <w:bCs/>
        </w:rPr>
        <w:t xml:space="preserve"> </w:t>
      </w:r>
    </w:p>
    <w:p w14:paraId="504B1338" w14:textId="60F4DEA3" w:rsidR="00611AFA" w:rsidRPr="00C05DE0" w:rsidRDefault="00611AFA" w:rsidP="00C05DE0">
      <w:pPr>
        <w:pStyle w:val="ListParagraph"/>
        <w:numPr>
          <w:ilvl w:val="0"/>
          <w:numId w:val="12"/>
        </w:numPr>
        <w:ind w:left="360"/>
        <w:rPr>
          <w:bCs/>
        </w:rPr>
      </w:pPr>
      <w:r>
        <w:rPr>
          <w:bCs/>
        </w:rPr>
        <w:t xml:space="preserve">Camilleri M. Gastroparesis: Etiology, clinical manifestations, and diagnosis. In: UpToDate, Talley NJ (Ed), </w:t>
      </w:r>
      <w:r w:rsidRPr="00C05DE0">
        <w:rPr>
          <w:bCs/>
        </w:rPr>
        <w:t xml:space="preserve">UpToDate, Waltham, MA.  Accessed </w:t>
      </w:r>
      <w:r w:rsidR="008335FA">
        <w:rPr>
          <w:bCs/>
        </w:rPr>
        <w:t>08</w:t>
      </w:r>
      <w:r w:rsidRPr="00C05DE0">
        <w:rPr>
          <w:bCs/>
        </w:rPr>
        <w:t>/</w:t>
      </w:r>
      <w:r w:rsidR="0029443D">
        <w:rPr>
          <w:bCs/>
        </w:rPr>
        <w:t>16</w:t>
      </w:r>
      <w:r w:rsidRPr="00C05DE0">
        <w:rPr>
          <w:bCs/>
        </w:rPr>
        <w:t>/201</w:t>
      </w:r>
      <w:r w:rsidR="0029443D">
        <w:rPr>
          <w:bCs/>
        </w:rPr>
        <w:t>9</w:t>
      </w:r>
      <w:r>
        <w:rPr>
          <w:bCs/>
        </w:rPr>
        <w:t>.</w:t>
      </w:r>
    </w:p>
    <w:p w14:paraId="504B1339" w14:textId="77777777" w:rsidR="001A587E" w:rsidRPr="00C05DE0" w:rsidRDefault="001A587E" w:rsidP="00C05DE0">
      <w:pPr>
        <w:pStyle w:val="ListParagraph"/>
        <w:numPr>
          <w:ilvl w:val="0"/>
          <w:numId w:val="12"/>
        </w:numPr>
        <w:ind w:left="360"/>
        <w:rPr>
          <w:bCs/>
        </w:rPr>
      </w:pPr>
      <w:r w:rsidRPr="00C05DE0">
        <w:rPr>
          <w:bCs/>
        </w:rPr>
        <w:t>Forster J, et al.  Further experience with gastric stimulation to treat drug refractory gastroparesis.  The American Journal of Surgery, December 2003, 186:6, 690-695.</w:t>
      </w:r>
    </w:p>
    <w:p w14:paraId="504B133B" w14:textId="64C5BC95" w:rsidR="001A587E" w:rsidRPr="00C05DE0" w:rsidRDefault="001A587E" w:rsidP="00C05DE0">
      <w:pPr>
        <w:pStyle w:val="ListParagraph"/>
        <w:numPr>
          <w:ilvl w:val="0"/>
          <w:numId w:val="12"/>
        </w:numPr>
        <w:ind w:left="360"/>
        <w:rPr>
          <w:bCs/>
        </w:rPr>
      </w:pPr>
      <w:r w:rsidRPr="00C05DE0">
        <w:rPr>
          <w:bCs/>
        </w:rPr>
        <w:t xml:space="preserve">Hayes </w:t>
      </w:r>
      <w:r w:rsidR="00D145A0">
        <w:rPr>
          <w:bCs/>
        </w:rPr>
        <w:t xml:space="preserve">Health </w:t>
      </w:r>
      <w:r w:rsidRPr="00C05DE0">
        <w:rPr>
          <w:bCs/>
        </w:rPr>
        <w:t xml:space="preserve">Technology </w:t>
      </w:r>
      <w:r w:rsidR="00D145A0">
        <w:rPr>
          <w:bCs/>
        </w:rPr>
        <w:t>Assessment.</w:t>
      </w:r>
      <w:bookmarkStart w:id="2" w:name="_GoBack"/>
      <w:bookmarkEnd w:id="2"/>
      <w:r w:rsidRPr="00C05DE0">
        <w:rPr>
          <w:bCs/>
        </w:rPr>
        <w:t xml:space="preserve"> Gastric electrical stimulation for gastroparesis.  </w:t>
      </w:r>
      <w:r w:rsidR="00D145A0">
        <w:rPr>
          <w:bCs/>
        </w:rPr>
        <w:t>October 26, 2018</w:t>
      </w:r>
      <w:r w:rsidRPr="00C05DE0">
        <w:rPr>
          <w:bCs/>
        </w:rPr>
        <w:t>.</w:t>
      </w:r>
      <w:r w:rsidR="00611AFA">
        <w:rPr>
          <w:bCs/>
        </w:rPr>
        <w:t xml:space="preserve"> Accessed </w:t>
      </w:r>
      <w:r w:rsidR="00456431">
        <w:rPr>
          <w:bCs/>
        </w:rPr>
        <w:t>08</w:t>
      </w:r>
      <w:r w:rsidR="00611AFA">
        <w:rPr>
          <w:bCs/>
        </w:rPr>
        <w:t>/</w:t>
      </w:r>
      <w:r w:rsidR="00D145A0">
        <w:rPr>
          <w:bCs/>
        </w:rPr>
        <w:t>15/</w:t>
      </w:r>
      <w:r w:rsidR="00611AFA">
        <w:rPr>
          <w:bCs/>
        </w:rPr>
        <w:t>1</w:t>
      </w:r>
      <w:r w:rsidR="00D145A0">
        <w:rPr>
          <w:bCs/>
        </w:rPr>
        <w:t>9</w:t>
      </w:r>
      <w:r w:rsidR="00611AFA">
        <w:rPr>
          <w:bCs/>
        </w:rPr>
        <w:t xml:space="preserve">. </w:t>
      </w:r>
    </w:p>
    <w:p w14:paraId="504B133C" w14:textId="1936666D" w:rsidR="001A587E" w:rsidRPr="00C05DE0" w:rsidRDefault="001A587E" w:rsidP="00C05DE0">
      <w:pPr>
        <w:pStyle w:val="ListParagraph"/>
        <w:numPr>
          <w:ilvl w:val="0"/>
          <w:numId w:val="12"/>
        </w:numPr>
        <w:ind w:left="360"/>
        <w:rPr>
          <w:bCs/>
        </w:rPr>
      </w:pPr>
      <w:r w:rsidRPr="00C05DE0">
        <w:rPr>
          <w:bCs/>
        </w:rPr>
        <w:lastRenderedPageBreak/>
        <w:t>Hasler, WL.  Electrical stimulation for gastroparesis.  In: UpToDate, Talley</w:t>
      </w:r>
      <w:r w:rsidR="00611AFA">
        <w:rPr>
          <w:bCs/>
        </w:rPr>
        <w:t xml:space="preserve"> </w:t>
      </w:r>
      <w:r w:rsidRPr="00C05DE0">
        <w:rPr>
          <w:bCs/>
        </w:rPr>
        <w:t xml:space="preserve">NJ (Ed), UpToDate, Waltham, MA.  Accessed </w:t>
      </w:r>
      <w:r w:rsidR="00732310">
        <w:rPr>
          <w:bCs/>
        </w:rPr>
        <w:t>08</w:t>
      </w:r>
      <w:r w:rsidR="00851934" w:rsidRPr="00C05DE0">
        <w:rPr>
          <w:bCs/>
        </w:rPr>
        <w:t>/</w:t>
      </w:r>
      <w:r w:rsidR="00F620BA">
        <w:rPr>
          <w:bCs/>
        </w:rPr>
        <w:t>16</w:t>
      </w:r>
      <w:r w:rsidR="00851934" w:rsidRPr="00C05DE0">
        <w:rPr>
          <w:bCs/>
        </w:rPr>
        <w:t>/201</w:t>
      </w:r>
      <w:r w:rsidR="00F620BA">
        <w:rPr>
          <w:bCs/>
        </w:rPr>
        <w:t>9</w:t>
      </w:r>
      <w:r w:rsidR="00851934" w:rsidRPr="00C05DE0">
        <w:rPr>
          <w:bCs/>
        </w:rPr>
        <w:t>.</w:t>
      </w:r>
      <w:r w:rsidRPr="00C05DE0">
        <w:rPr>
          <w:bCs/>
        </w:rPr>
        <w:t xml:space="preserve"> </w:t>
      </w:r>
    </w:p>
    <w:p w14:paraId="504B133D" w14:textId="77777777" w:rsidR="00963062" w:rsidRPr="00083266" w:rsidRDefault="001A587E" w:rsidP="00C05DE0">
      <w:pPr>
        <w:pStyle w:val="ListParagraph"/>
        <w:numPr>
          <w:ilvl w:val="0"/>
          <w:numId w:val="12"/>
        </w:numPr>
        <w:ind w:left="360"/>
        <w:rPr>
          <w:rStyle w:val="citation-flpages"/>
          <w:b/>
          <w:bCs/>
        </w:rPr>
      </w:pPr>
      <w:r w:rsidRPr="00C05DE0">
        <w:rPr>
          <w:bCs/>
        </w:rPr>
        <w:t xml:space="preserve">Parkman HP, Fass R, Foxx-Orenstein AE.  Treatment of patients with diabetic gastroparesis.  </w:t>
      </w:r>
      <w:r w:rsidRPr="00C05DE0">
        <w:rPr>
          <w:rStyle w:val="citation-abbreviation"/>
          <w:lang w:val="en"/>
        </w:rPr>
        <w:t xml:space="preserve">Gastroenterol Hepatol (N Y). </w:t>
      </w:r>
      <w:r w:rsidRPr="00C05DE0">
        <w:rPr>
          <w:rStyle w:val="citation-publication-date"/>
          <w:lang w:val="en"/>
        </w:rPr>
        <w:t xml:space="preserve">2010 June; </w:t>
      </w:r>
      <w:r w:rsidRPr="00C05DE0">
        <w:rPr>
          <w:rStyle w:val="citation-volume"/>
          <w:lang w:val="en"/>
        </w:rPr>
        <w:t>6</w:t>
      </w:r>
      <w:r w:rsidRPr="00C05DE0">
        <w:rPr>
          <w:rStyle w:val="citation-issue"/>
          <w:lang w:val="en"/>
        </w:rPr>
        <w:t>(6 Suppl 9)</w:t>
      </w:r>
      <w:r w:rsidRPr="00C05DE0">
        <w:rPr>
          <w:rStyle w:val="citation-flpages"/>
          <w:lang w:val="en"/>
        </w:rPr>
        <w:t>: 1–16.</w:t>
      </w:r>
    </w:p>
    <w:p w14:paraId="504B133E" w14:textId="77777777" w:rsidR="00EF5DD3" w:rsidRPr="00083266" w:rsidRDefault="00F26EE6" w:rsidP="00EF5DD3">
      <w:pPr>
        <w:pStyle w:val="ListParagraph"/>
        <w:numPr>
          <w:ilvl w:val="0"/>
          <w:numId w:val="12"/>
        </w:numPr>
        <w:ind w:left="360"/>
        <w:rPr>
          <w:rStyle w:val="citation-flpages"/>
          <w:b/>
          <w:bCs/>
        </w:rPr>
      </w:pPr>
      <w:r w:rsidRPr="00F26EE6">
        <w:rPr>
          <w:rStyle w:val="citation-flpages"/>
          <w:lang w:val="en"/>
        </w:rPr>
        <w:t>Cha R, Marescaux J, Diana M. Updates on gastric electrical stimulation to treat obesity: Systematic review and future perspectives. World J Gastrointest Endosc. 2014 Sep 16;6(9):419-31</w:t>
      </w:r>
      <w:r w:rsidR="00EF5DD3">
        <w:rPr>
          <w:rStyle w:val="citation-flpages"/>
          <w:lang w:val="en"/>
        </w:rPr>
        <w:t>.</w:t>
      </w:r>
    </w:p>
    <w:p w14:paraId="504B133F" w14:textId="77777777" w:rsidR="00EA5A71" w:rsidRPr="007B1FD3" w:rsidRDefault="00A847B9" w:rsidP="00EF5DD3">
      <w:pPr>
        <w:pStyle w:val="ListParagraph"/>
        <w:numPr>
          <w:ilvl w:val="0"/>
          <w:numId w:val="12"/>
        </w:numPr>
        <w:ind w:left="360"/>
        <w:rPr>
          <w:b/>
          <w:bCs/>
        </w:rPr>
      </w:pPr>
      <w:r>
        <w:rPr>
          <w:bCs/>
        </w:rPr>
        <w:t>Lebovitz</w:t>
      </w:r>
      <w:r w:rsidR="00F26EE6">
        <w:rPr>
          <w:bCs/>
        </w:rPr>
        <w:t xml:space="preserve"> HE. Interventional treatment of obesity and diabetes: An interim report on gastric electrical stimulation. Rev Endocr Metab Disord. 2016 17: 73-80. </w:t>
      </w:r>
      <w:r w:rsidR="00F26EE6" w:rsidRPr="00083266">
        <w:rPr>
          <w:bCs/>
        </w:rPr>
        <w:t>DOI 10.1007/s11154-016-9350-7</w:t>
      </w:r>
      <w:r w:rsidR="00EF5DD3">
        <w:rPr>
          <w:bCs/>
        </w:rPr>
        <w:t>.</w:t>
      </w:r>
    </w:p>
    <w:p w14:paraId="6B028177" w14:textId="128EFA75" w:rsidR="00880207" w:rsidRPr="007B1FD3" w:rsidRDefault="00880207" w:rsidP="00880207">
      <w:pPr>
        <w:pStyle w:val="ListParagraph"/>
        <w:numPr>
          <w:ilvl w:val="0"/>
          <w:numId w:val="12"/>
        </w:numPr>
        <w:ind w:left="360"/>
        <w:rPr>
          <w:bCs/>
        </w:rPr>
      </w:pPr>
      <w:r w:rsidRPr="007B1FD3">
        <w:rPr>
          <w:bCs/>
        </w:rPr>
        <w:t>Camilleri M.</w:t>
      </w:r>
      <w:r>
        <w:rPr>
          <w:bCs/>
        </w:rPr>
        <w:t xml:space="preserve">  Treatment of gastroparesis.  </w:t>
      </w:r>
      <w:r w:rsidRPr="00880207">
        <w:rPr>
          <w:bCs/>
        </w:rPr>
        <w:t>In: UpToDate, Talley NJ (Ed), UpToDate, Waltham, MA.  Accessed 08/</w:t>
      </w:r>
      <w:r>
        <w:rPr>
          <w:bCs/>
        </w:rPr>
        <w:t>16/19</w:t>
      </w:r>
    </w:p>
    <w:p w14:paraId="504B1340" w14:textId="77777777" w:rsidR="00C75BD4" w:rsidRDefault="00C75BD4" w:rsidP="00AF5490"/>
    <w:p w14:paraId="504B1341" w14:textId="77777777" w:rsidR="00623F0B" w:rsidRDefault="00623F0B" w:rsidP="00623F0B">
      <w:pPr>
        <w:rPr>
          <w:rFonts w:eastAsiaTheme="minorHAnsi"/>
          <w:b/>
          <w:u w:val="single"/>
        </w:rPr>
      </w:pPr>
      <w:bookmarkStart w:id="3" w:name="Important_Reminder"/>
      <w:r>
        <w:rPr>
          <w:rFonts w:eastAsiaTheme="minorHAnsi"/>
          <w:b/>
          <w:bCs/>
          <w:u w:val="single"/>
        </w:rPr>
        <w:t>Important Reminder</w:t>
      </w:r>
    </w:p>
    <w:bookmarkEnd w:id="3"/>
    <w:p w14:paraId="504B1342" w14:textId="77777777" w:rsidR="00623F0B" w:rsidRDefault="00623F0B" w:rsidP="00623F0B">
      <w:pPr>
        <w:rPr>
          <w:rFonts w:eastAsiaTheme="minorHAnsi"/>
        </w:rPr>
      </w:pPr>
      <w:r>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Pr>
          <w:rFonts w:eastAsiaTheme="minorHAnsi"/>
          <w:iCs/>
        </w:rPr>
        <w:t>The Health Plan</w:t>
      </w:r>
      <w:r>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04B1343" w14:textId="77777777" w:rsidR="00623F0B" w:rsidRDefault="00623F0B" w:rsidP="00623F0B">
      <w:pPr>
        <w:rPr>
          <w:rFonts w:eastAsiaTheme="minorHAnsi"/>
        </w:rPr>
      </w:pPr>
    </w:p>
    <w:p w14:paraId="504B1344" w14:textId="77777777" w:rsidR="00623F0B" w:rsidRDefault="00623F0B" w:rsidP="00623F0B">
      <w:pPr>
        <w:rPr>
          <w:rFonts w:eastAsiaTheme="minorHAnsi"/>
        </w:rPr>
      </w:pPr>
      <w:r>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04B1345" w14:textId="77777777" w:rsidR="00623F0B" w:rsidRDefault="00623F0B" w:rsidP="00623F0B">
      <w:pPr>
        <w:rPr>
          <w:rFonts w:eastAsiaTheme="minorHAnsi"/>
        </w:rPr>
      </w:pPr>
    </w:p>
    <w:p w14:paraId="504B1346" w14:textId="77777777" w:rsidR="00623F0B" w:rsidRDefault="00623F0B" w:rsidP="00623F0B">
      <w:pPr>
        <w:rPr>
          <w:color w:val="002868"/>
        </w:rPr>
      </w:pPr>
      <w:r>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04B1347" w14:textId="77777777" w:rsidR="00623F0B" w:rsidRDefault="00623F0B" w:rsidP="00623F0B">
      <w:pPr>
        <w:rPr>
          <w:rFonts w:eastAsiaTheme="minorHAnsi"/>
        </w:rPr>
      </w:pPr>
    </w:p>
    <w:p w14:paraId="504B1348" w14:textId="77777777" w:rsidR="00623F0B" w:rsidRDefault="00623F0B" w:rsidP="00623F0B">
      <w:pPr>
        <w:rPr>
          <w:rFonts w:eastAsiaTheme="minorHAnsi"/>
        </w:rPr>
      </w:pPr>
      <w:r>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w:t>
      </w:r>
      <w:r>
        <w:rPr>
          <w:rFonts w:eastAsiaTheme="minorHAnsi"/>
        </w:rPr>
        <w:lastRenderedPageBreak/>
        <w:t xml:space="preserve">recommend treatment for members. Members should consult with their treating physician in connection with diagnosis and treatment decisions. </w:t>
      </w:r>
    </w:p>
    <w:p w14:paraId="504B1349" w14:textId="77777777" w:rsidR="00623F0B" w:rsidRDefault="00623F0B" w:rsidP="00623F0B">
      <w:pPr>
        <w:rPr>
          <w:rFonts w:eastAsiaTheme="minorHAnsi"/>
        </w:rPr>
      </w:pPr>
    </w:p>
    <w:p w14:paraId="504B134A" w14:textId="77777777" w:rsidR="00623F0B" w:rsidRDefault="00623F0B" w:rsidP="00623F0B">
      <w:pPr>
        <w:rPr>
          <w:rFonts w:eastAsiaTheme="minorHAnsi"/>
        </w:rPr>
      </w:pPr>
      <w:r>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504B134B" w14:textId="77777777" w:rsidR="00623F0B" w:rsidRDefault="00623F0B" w:rsidP="00623F0B">
      <w:pPr>
        <w:rPr>
          <w:rFonts w:eastAsiaTheme="minorHAnsi"/>
        </w:rPr>
      </w:pPr>
    </w:p>
    <w:p w14:paraId="504B134C" w14:textId="77777777" w:rsidR="00623F0B" w:rsidRDefault="00623F0B" w:rsidP="00623F0B">
      <w:pPr>
        <w:rPr>
          <w:rFonts w:eastAsiaTheme="minorHAnsi"/>
        </w:rPr>
      </w:pPr>
      <w:r>
        <w:rPr>
          <w:rFonts w:eastAsiaTheme="minorHAnsi"/>
        </w:rPr>
        <w:t xml:space="preserve">This clinical policy is the property of </w:t>
      </w:r>
      <w:r>
        <w:rPr>
          <w:rFonts w:eastAsiaTheme="minorHAnsi"/>
          <w:iCs/>
        </w:rPr>
        <w:t>the Health Plan</w:t>
      </w:r>
      <w:r>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504B134D" w14:textId="77777777" w:rsidR="00623F0B" w:rsidRDefault="00623F0B" w:rsidP="00623F0B">
      <w:pPr>
        <w:autoSpaceDE w:val="0"/>
        <w:autoSpaceDN w:val="0"/>
        <w:adjustRightInd w:val="0"/>
        <w:rPr>
          <w:rFonts w:eastAsiaTheme="minorHAnsi"/>
          <w:color w:val="000000"/>
        </w:rPr>
      </w:pPr>
    </w:p>
    <w:p w14:paraId="504B134E" w14:textId="77777777" w:rsidR="00623F0B" w:rsidRDefault="00623F0B" w:rsidP="00623F0B">
      <w:pPr>
        <w:autoSpaceDE w:val="0"/>
        <w:autoSpaceDN w:val="0"/>
        <w:adjustRightInd w:val="0"/>
        <w:rPr>
          <w:rFonts w:eastAsiaTheme="minorHAnsi"/>
          <w:color w:val="000000"/>
        </w:rPr>
      </w:pPr>
      <w:r>
        <w:rPr>
          <w:rFonts w:eastAsiaTheme="minorHAnsi"/>
          <w:b/>
          <w:color w:val="000000"/>
        </w:rPr>
        <w:t>Note: For Medicaid members</w:t>
      </w:r>
      <w:r>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04B134F" w14:textId="77777777" w:rsidR="00623F0B" w:rsidRDefault="00623F0B" w:rsidP="00623F0B">
      <w:pPr>
        <w:rPr>
          <w:rFonts w:eastAsiaTheme="minorHAnsi"/>
        </w:rPr>
      </w:pPr>
    </w:p>
    <w:p w14:paraId="504B1350" w14:textId="77777777" w:rsidR="00623F0B" w:rsidRDefault="00623F0B" w:rsidP="00623F0B">
      <w:pPr>
        <w:autoSpaceDE w:val="0"/>
        <w:autoSpaceDN w:val="0"/>
        <w:adjustRightInd w:val="0"/>
        <w:rPr>
          <w:color w:val="000000"/>
        </w:rPr>
      </w:pPr>
      <w:r>
        <w:rPr>
          <w:rFonts w:eastAsiaTheme="minorHAnsi"/>
          <w:b/>
          <w:bCs/>
          <w:color w:val="000000"/>
        </w:rPr>
        <w:t xml:space="preserve">Note: For Medicare members, </w:t>
      </w:r>
      <w:r>
        <w:rPr>
          <w:rFonts w:eastAsiaTheme="minorHAnsi"/>
          <w:color w:val="000000"/>
        </w:rPr>
        <w:t xml:space="preserve">to ensure consistency with the Medicare National Coverage Determinations (NCD) and Local Coverage Determinations (LCD), all applicable NCDs, LCDs, and Medicare Coverage Articles should be reviewed </w:t>
      </w:r>
      <w:r>
        <w:rPr>
          <w:rFonts w:eastAsiaTheme="minorHAnsi"/>
          <w:color w:val="000000"/>
          <w:u w:val="single"/>
        </w:rPr>
        <w:t>prior to</w:t>
      </w:r>
      <w:r>
        <w:rPr>
          <w:rFonts w:eastAsiaTheme="minorHAnsi"/>
          <w:color w:val="000000"/>
        </w:rPr>
        <w:t xml:space="preserve"> applying the criteria set forth in this clinical policy. Refer to the CMS website at </w:t>
      </w:r>
      <w:hyperlink r:id="rId16" w:history="1">
        <w:r>
          <w:rPr>
            <w:rStyle w:val="Hyperlink"/>
            <w:rFonts w:eastAsiaTheme="minorHAnsi"/>
            <w:color w:val="000000"/>
          </w:rPr>
          <w:t>http://www.cms.gov</w:t>
        </w:r>
      </w:hyperlink>
      <w:r>
        <w:rPr>
          <w:rFonts w:eastAsiaTheme="minorHAnsi"/>
          <w:color w:val="000000"/>
        </w:rPr>
        <w:t xml:space="preserve"> for additional information.</w:t>
      </w:r>
      <w:r>
        <w:rPr>
          <w:color w:val="000000"/>
        </w:rPr>
        <w:t xml:space="preserve"> </w:t>
      </w:r>
    </w:p>
    <w:p w14:paraId="504B1351" w14:textId="77777777" w:rsidR="00623F0B" w:rsidRDefault="00623F0B" w:rsidP="00623F0B">
      <w:pPr>
        <w:rPr>
          <w:iCs/>
        </w:rPr>
      </w:pPr>
    </w:p>
    <w:p w14:paraId="504B1352" w14:textId="77777777" w:rsidR="00623F0B" w:rsidRDefault="00623F0B" w:rsidP="00623F0B">
      <w:pPr>
        <w:rPr>
          <w:iCs/>
        </w:rPr>
      </w:pPr>
      <w:r>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Pr>
          <w:iCs/>
          <w:vertAlign w:val="superscript"/>
        </w:rPr>
        <w:t>®</w:t>
      </w:r>
      <w:r>
        <w:rPr>
          <w:iCs/>
        </w:rPr>
        <w:t xml:space="preserve"> and Centene Corporation</w:t>
      </w:r>
      <w:r>
        <w:rPr>
          <w:iCs/>
          <w:vertAlign w:val="superscript"/>
        </w:rPr>
        <w:t>®</w:t>
      </w:r>
      <w:r>
        <w:rPr>
          <w:iCs/>
        </w:rPr>
        <w:t xml:space="preserve"> are registered trademarks exclusively owned by Centene Corporation.</w:t>
      </w:r>
    </w:p>
    <w:p w14:paraId="504B1353" w14:textId="77777777" w:rsidR="00623F0B" w:rsidRDefault="00623F0B" w:rsidP="00AF5490"/>
    <w:sectPr w:rsidR="00623F0B"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1356" w14:textId="77777777" w:rsidR="008369F7" w:rsidRDefault="008369F7">
      <w:r>
        <w:separator/>
      </w:r>
    </w:p>
  </w:endnote>
  <w:endnote w:type="continuationSeparator" w:id="0">
    <w:p w14:paraId="504B1357" w14:textId="77777777" w:rsidR="008369F7" w:rsidRDefault="0083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135A" w14:textId="5C0752B1"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9F1AE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F1AE4">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135C" w14:textId="480F3B72" w:rsidR="002C6AAB" w:rsidRDefault="002C6AAB" w:rsidP="002C6AAB">
    <w:pPr>
      <w:pStyle w:val="Footer"/>
      <w:jc w:val="center"/>
    </w:pPr>
    <w:r>
      <w:t xml:space="preserve">Page </w:t>
    </w:r>
    <w:r>
      <w:fldChar w:fldCharType="begin"/>
    </w:r>
    <w:r>
      <w:instrText xml:space="preserve"> PAGE   \* MERGEFORMAT </w:instrText>
    </w:r>
    <w:r>
      <w:fldChar w:fldCharType="separate"/>
    </w:r>
    <w:r w:rsidR="009F1AE4">
      <w:rPr>
        <w:noProof/>
      </w:rPr>
      <w:t>1</w:t>
    </w:r>
    <w:r>
      <w:fldChar w:fldCharType="end"/>
    </w:r>
    <w:r>
      <w:t xml:space="preserve"> of </w:t>
    </w:r>
    <w:r w:rsidR="00FF40D6">
      <w:rPr>
        <w:noProof/>
      </w:rPr>
      <w:fldChar w:fldCharType="begin"/>
    </w:r>
    <w:r w:rsidR="00FF40D6">
      <w:rPr>
        <w:noProof/>
      </w:rPr>
      <w:instrText xml:space="preserve"> NUMPAGES   \* MERGEFORMAT </w:instrText>
    </w:r>
    <w:r w:rsidR="00FF40D6">
      <w:rPr>
        <w:noProof/>
      </w:rPr>
      <w:fldChar w:fldCharType="separate"/>
    </w:r>
    <w:r w:rsidR="009F1AE4">
      <w:rPr>
        <w:noProof/>
      </w:rPr>
      <w:t>6</w:t>
    </w:r>
    <w:r w:rsidR="00FF40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1354" w14:textId="77777777" w:rsidR="008369F7" w:rsidRDefault="008369F7">
      <w:r>
        <w:separator/>
      </w:r>
    </w:p>
  </w:footnote>
  <w:footnote w:type="continuationSeparator" w:id="0">
    <w:p w14:paraId="504B1355" w14:textId="77777777" w:rsidR="008369F7" w:rsidRDefault="0083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1358"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1B76CC">
      <w:rPr>
        <w:noProof/>
        <w:color w:val="00548C"/>
      </w:rPr>
      <w:drawing>
        <wp:inline distT="0" distB="0" distL="0" distR="0" wp14:anchorId="504B135D" wp14:editId="504B135E">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04B1359" w14:textId="77777777" w:rsidR="00DD025A" w:rsidRPr="00B777AF" w:rsidRDefault="00372698" w:rsidP="00B777AF">
    <w:pPr>
      <w:rPr>
        <w:color w:val="00548C"/>
      </w:rPr>
    </w:pPr>
    <w:r>
      <w:rPr>
        <w:rFonts w:ascii="Times New Roman Bold" w:hAnsi="Times New Roman Bold"/>
        <w:b/>
        <w:bCs/>
        <w:color w:val="00548C"/>
      </w:rPr>
      <w:t>Gastric Electrical Stimulation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135B" w14:textId="77777777" w:rsidR="009135E0" w:rsidRDefault="001B76CC" w:rsidP="00B777AF">
    <w:pPr>
      <w:pStyle w:val="Header"/>
      <w:jc w:val="right"/>
    </w:pPr>
    <w:r>
      <w:rPr>
        <w:noProof/>
      </w:rPr>
      <w:drawing>
        <wp:inline distT="0" distB="0" distL="0" distR="0" wp14:anchorId="504B135F" wp14:editId="504B1360">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02922"/>
    <w:multiLevelType w:val="hybridMultilevel"/>
    <w:tmpl w:val="2694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43E"/>
    <w:multiLevelType w:val="hybridMultilevel"/>
    <w:tmpl w:val="1B1AFB2A"/>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34987"/>
    <w:multiLevelType w:val="hybridMultilevel"/>
    <w:tmpl w:val="961084E6"/>
    <w:lvl w:ilvl="0" w:tplc="FC06190C">
      <w:start w:val="1"/>
      <w:numFmt w:val="upperLetter"/>
      <w:lvlText w:val="%1."/>
      <w:lvlJc w:val="left"/>
      <w:pPr>
        <w:tabs>
          <w:tab w:val="num" w:pos="720"/>
        </w:tabs>
        <w:ind w:left="720" w:hanging="360"/>
      </w:pPr>
      <w:rPr>
        <w:rFonts w:hint="default"/>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C518F"/>
    <w:multiLevelType w:val="hybridMultilevel"/>
    <w:tmpl w:val="C0F04EFA"/>
    <w:lvl w:ilvl="0" w:tplc="5FEEB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922A9"/>
    <w:multiLevelType w:val="hybridMultilevel"/>
    <w:tmpl w:val="08504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3"/>
  </w:num>
  <w:num w:numId="5">
    <w:abstractNumId w:val="4"/>
  </w:num>
  <w:num w:numId="6">
    <w:abstractNumId w:val="8"/>
  </w:num>
  <w:num w:numId="7">
    <w:abstractNumId w:val="9"/>
  </w:num>
  <w:num w:numId="8">
    <w:abstractNumId w:val="1"/>
  </w:num>
  <w:num w:numId="9">
    <w:abstractNumId w:val="7"/>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36D"/>
    <w:rsid w:val="00022E19"/>
    <w:rsid w:val="000465DE"/>
    <w:rsid w:val="0004733E"/>
    <w:rsid w:val="00060509"/>
    <w:rsid w:val="00083266"/>
    <w:rsid w:val="00083740"/>
    <w:rsid w:val="000E3074"/>
    <w:rsid w:val="000F10C2"/>
    <w:rsid w:val="0013227D"/>
    <w:rsid w:val="00134215"/>
    <w:rsid w:val="0014316D"/>
    <w:rsid w:val="00154207"/>
    <w:rsid w:val="00163DF9"/>
    <w:rsid w:val="00170B14"/>
    <w:rsid w:val="001818D7"/>
    <w:rsid w:val="00185104"/>
    <w:rsid w:val="001962BE"/>
    <w:rsid w:val="00196689"/>
    <w:rsid w:val="00196935"/>
    <w:rsid w:val="0019746F"/>
    <w:rsid w:val="001A32B6"/>
    <w:rsid w:val="001A587E"/>
    <w:rsid w:val="001B3357"/>
    <w:rsid w:val="001B76CC"/>
    <w:rsid w:val="001C4D6C"/>
    <w:rsid w:val="001D0D34"/>
    <w:rsid w:val="001D70D4"/>
    <w:rsid w:val="001E7D12"/>
    <w:rsid w:val="0020675F"/>
    <w:rsid w:val="00215A65"/>
    <w:rsid w:val="00220736"/>
    <w:rsid w:val="00222470"/>
    <w:rsid w:val="00230FE4"/>
    <w:rsid w:val="00233651"/>
    <w:rsid w:val="00254020"/>
    <w:rsid w:val="0025452A"/>
    <w:rsid w:val="00285997"/>
    <w:rsid w:val="0029443D"/>
    <w:rsid w:val="002A39EE"/>
    <w:rsid w:val="002C6AAB"/>
    <w:rsid w:val="002C720B"/>
    <w:rsid w:val="002D019A"/>
    <w:rsid w:val="002E48E7"/>
    <w:rsid w:val="002F20BA"/>
    <w:rsid w:val="00301D97"/>
    <w:rsid w:val="003140D6"/>
    <w:rsid w:val="003412F5"/>
    <w:rsid w:val="00350F22"/>
    <w:rsid w:val="00372698"/>
    <w:rsid w:val="003840CC"/>
    <w:rsid w:val="003A3708"/>
    <w:rsid w:val="003B1937"/>
    <w:rsid w:val="003C2970"/>
    <w:rsid w:val="003D7BE7"/>
    <w:rsid w:val="003E358A"/>
    <w:rsid w:val="00456431"/>
    <w:rsid w:val="00472C6C"/>
    <w:rsid w:val="00480C09"/>
    <w:rsid w:val="0049634A"/>
    <w:rsid w:val="00496BCF"/>
    <w:rsid w:val="00497AED"/>
    <w:rsid w:val="004E0B99"/>
    <w:rsid w:val="004F6394"/>
    <w:rsid w:val="00505830"/>
    <w:rsid w:val="005103B8"/>
    <w:rsid w:val="005400A5"/>
    <w:rsid w:val="005423D4"/>
    <w:rsid w:val="00543130"/>
    <w:rsid w:val="005537B0"/>
    <w:rsid w:val="00554CE5"/>
    <w:rsid w:val="00570B4D"/>
    <w:rsid w:val="005776FD"/>
    <w:rsid w:val="00583376"/>
    <w:rsid w:val="005C17DF"/>
    <w:rsid w:val="005C3607"/>
    <w:rsid w:val="005D009F"/>
    <w:rsid w:val="005D5146"/>
    <w:rsid w:val="005E2560"/>
    <w:rsid w:val="005E411E"/>
    <w:rsid w:val="00611AFA"/>
    <w:rsid w:val="00623F0B"/>
    <w:rsid w:val="006474BB"/>
    <w:rsid w:val="006664E9"/>
    <w:rsid w:val="006756AE"/>
    <w:rsid w:val="006834E0"/>
    <w:rsid w:val="006921D5"/>
    <w:rsid w:val="006A6CB2"/>
    <w:rsid w:val="006C74DF"/>
    <w:rsid w:val="006D2574"/>
    <w:rsid w:val="006F4D70"/>
    <w:rsid w:val="00706DEF"/>
    <w:rsid w:val="00732310"/>
    <w:rsid w:val="007325CC"/>
    <w:rsid w:val="00744250"/>
    <w:rsid w:val="00763D6A"/>
    <w:rsid w:val="007764CE"/>
    <w:rsid w:val="007773DA"/>
    <w:rsid w:val="00777F61"/>
    <w:rsid w:val="007A0BCC"/>
    <w:rsid w:val="007A38E1"/>
    <w:rsid w:val="007B07AE"/>
    <w:rsid w:val="007B1FD3"/>
    <w:rsid w:val="007B50D0"/>
    <w:rsid w:val="007D4053"/>
    <w:rsid w:val="007D4801"/>
    <w:rsid w:val="007F1F19"/>
    <w:rsid w:val="0082484A"/>
    <w:rsid w:val="008335FA"/>
    <w:rsid w:val="008369F7"/>
    <w:rsid w:val="00851934"/>
    <w:rsid w:val="00857C10"/>
    <w:rsid w:val="00875924"/>
    <w:rsid w:val="00877EC7"/>
    <w:rsid w:val="00880207"/>
    <w:rsid w:val="00884A33"/>
    <w:rsid w:val="00896E94"/>
    <w:rsid w:val="008B0705"/>
    <w:rsid w:val="008C6B3A"/>
    <w:rsid w:val="00902C9B"/>
    <w:rsid w:val="009135E0"/>
    <w:rsid w:val="00914351"/>
    <w:rsid w:val="00915CA4"/>
    <w:rsid w:val="00933E1F"/>
    <w:rsid w:val="00961071"/>
    <w:rsid w:val="00961EFB"/>
    <w:rsid w:val="00963062"/>
    <w:rsid w:val="009735FA"/>
    <w:rsid w:val="00977ECA"/>
    <w:rsid w:val="00982180"/>
    <w:rsid w:val="009921D7"/>
    <w:rsid w:val="009928B2"/>
    <w:rsid w:val="009C61B2"/>
    <w:rsid w:val="009E6F29"/>
    <w:rsid w:val="009F1AE4"/>
    <w:rsid w:val="00A4180C"/>
    <w:rsid w:val="00A41969"/>
    <w:rsid w:val="00A60413"/>
    <w:rsid w:val="00A65B22"/>
    <w:rsid w:val="00A83658"/>
    <w:rsid w:val="00A847B9"/>
    <w:rsid w:val="00A85489"/>
    <w:rsid w:val="00A87B1F"/>
    <w:rsid w:val="00AA336E"/>
    <w:rsid w:val="00AA428E"/>
    <w:rsid w:val="00AC4AD8"/>
    <w:rsid w:val="00AC7EF9"/>
    <w:rsid w:val="00AD1AA6"/>
    <w:rsid w:val="00AF1F2A"/>
    <w:rsid w:val="00AF30EF"/>
    <w:rsid w:val="00AF5490"/>
    <w:rsid w:val="00AF557E"/>
    <w:rsid w:val="00B20D5E"/>
    <w:rsid w:val="00B4633B"/>
    <w:rsid w:val="00B55E27"/>
    <w:rsid w:val="00B64AE8"/>
    <w:rsid w:val="00B777AF"/>
    <w:rsid w:val="00B81789"/>
    <w:rsid w:val="00B92DF1"/>
    <w:rsid w:val="00BE0A52"/>
    <w:rsid w:val="00BF4150"/>
    <w:rsid w:val="00C05DE0"/>
    <w:rsid w:val="00C079B0"/>
    <w:rsid w:val="00C14250"/>
    <w:rsid w:val="00C2297C"/>
    <w:rsid w:val="00C61529"/>
    <w:rsid w:val="00C64BB4"/>
    <w:rsid w:val="00C73813"/>
    <w:rsid w:val="00C73CF5"/>
    <w:rsid w:val="00C75BD4"/>
    <w:rsid w:val="00C86F7D"/>
    <w:rsid w:val="00C903B9"/>
    <w:rsid w:val="00C94EE8"/>
    <w:rsid w:val="00CA53B9"/>
    <w:rsid w:val="00CA5C08"/>
    <w:rsid w:val="00CD47E2"/>
    <w:rsid w:val="00CF2624"/>
    <w:rsid w:val="00CF60E4"/>
    <w:rsid w:val="00D123A5"/>
    <w:rsid w:val="00D145A0"/>
    <w:rsid w:val="00D36448"/>
    <w:rsid w:val="00D555CC"/>
    <w:rsid w:val="00D56D0D"/>
    <w:rsid w:val="00D574CA"/>
    <w:rsid w:val="00D71BC4"/>
    <w:rsid w:val="00D95794"/>
    <w:rsid w:val="00DB171C"/>
    <w:rsid w:val="00DB1DE9"/>
    <w:rsid w:val="00DD025A"/>
    <w:rsid w:val="00DD7D7A"/>
    <w:rsid w:val="00DE18E2"/>
    <w:rsid w:val="00E97C17"/>
    <w:rsid w:val="00EA3809"/>
    <w:rsid w:val="00EA5A71"/>
    <w:rsid w:val="00ED0A0D"/>
    <w:rsid w:val="00ED505E"/>
    <w:rsid w:val="00EF5DD3"/>
    <w:rsid w:val="00F03DC0"/>
    <w:rsid w:val="00F21056"/>
    <w:rsid w:val="00F26EE6"/>
    <w:rsid w:val="00F2705D"/>
    <w:rsid w:val="00F367AC"/>
    <w:rsid w:val="00F422E1"/>
    <w:rsid w:val="00F620BA"/>
    <w:rsid w:val="00F71F8E"/>
    <w:rsid w:val="00F74762"/>
    <w:rsid w:val="00F95133"/>
    <w:rsid w:val="00FB0592"/>
    <w:rsid w:val="00FB139B"/>
    <w:rsid w:val="00FB279C"/>
    <w:rsid w:val="00FE290A"/>
    <w:rsid w:val="00FE3FFE"/>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4B1297"/>
  <w15:docId w15:val="{5E6485B3-4364-428B-8BE1-033FDFC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87E"/>
    <w:pPr>
      <w:autoSpaceDE w:val="0"/>
      <w:autoSpaceDN w:val="0"/>
      <w:adjustRightInd w:val="0"/>
    </w:pPr>
    <w:rPr>
      <w:rFonts w:ascii="Arial" w:hAnsi="Arial" w:cs="Arial"/>
      <w:color w:val="000000"/>
      <w:sz w:val="24"/>
      <w:szCs w:val="24"/>
    </w:rPr>
  </w:style>
  <w:style w:type="character" w:styleId="CommentReference">
    <w:name w:val="annotation reference"/>
    <w:rsid w:val="001A587E"/>
    <w:rPr>
      <w:sz w:val="16"/>
      <w:szCs w:val="16"/>
    </w:rPr>
  </w:style>
  <w:style w:type="paragraph" w:styleId="CommentText">
    <w:name w:val="annotation text"/>
    <w:basedOn w:val="Normal"/>
    <w:link w:val="CommentTextChar"/>
    <w:rsid w:val="001A587E"/>
    <w:rPr>
      <w:sz w:val="20"/>
      <w:szCs w:val="20"/>
    </w:rPr>
  </w:style>
  <w:style w:type="character" w:customStyle="1" w:styleId="CommentTextChar">
    <w:name w:val="Comment Text Char"/>
    <w:basedOn w:val="DefaultParagraphFont"/>
    <w:link w:val="CommentText"/>
    <w:rsid w:val="001A587E"/>
  </w:style>
  <w:style w:type="character" w:customStyle="1" w:styleId="citation-abbreviation">
    <w:name w:val="citation-abbreviation"/>
    <w:rsid w:val="001A587E"/>
  </w:style>
  <w:style w:type="character" w:customStyle="1" w:styleId="citation-publication-date">
    <w:name w:val="citation-publication-date"/>
    <w:rsid w:val="001A587E"/>
  </w:style>
  <w:style w:type="character" w:customStyle="1" w:styleId="citation-volume">
    <w:name w:val="citation-volume"/>
    <w:rsid w:val="001A587E"/>
  </w:style>
  <w:style w:type="character" w:customStyle="1" w:styleId="citation-issue">
    <w:name w:val="citation-issue"/>
    <w:rsid w:val="001A587E"/>
  </w:style>
  <w:style w:type="character" w:customStyle="1" w:styleId="citation-flpages">
    <w:name w:val="citation-flpages"/>
    <w:rsid w:val="001A587E"/>
  </w:style>
  <w:style w:type="paragraph" w:styleId="ListParagraph">
    <w:name w:val="List Paragraph"/>
    <w:basedOn w:val="Normal"/>
    <w:uiPriority w:val="34"/>
    <w:qFormat/>
    <w:rsid w:val="00C05DE0"/>
    <w:pPr>
      <w:ind w:left="720"/>
      <w:contextualSpacing/>
    </w:pPr>
  </w:style>
  <w:style w:type="paragraph" w:styleId="PlainText">
    <w:name w:val="Plain Text"/>
    <w:basedOn w:val="Normal"/>
    <w:link w:val="PlainTextChar"/>
    <w:uiPriority w:val="99"/>
    <w:unhideWhenUsed/>
    <w:rsid w:val="003412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12F5"/>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914351"/>
    <w:rPr>
      <w:b/>
      <w:bCs/>
    </w:rPr>
  </w:style>
  <w:style w:type="character" w:customStyle="1" w:styleId="CommentSubjectChar">
    <w:name w:val="Comment Subject Char"/>
    <w:basedOn w:val="CommentTextChar"/>
    <w:link w:val="CommentSubject"/>
    <w:semiHidden/>
    <w:rsid w:val="0091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5661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cbi.nlm.nih.gov/entrez/eutils/elink.fcgi?dbfrom=pubmed&amp;retmode=ref&amp;cmd=prlinks&amp;id=23147521"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en.sagepub.com/cgi/content/abstract/27/4/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D32D2-8A03-4164-B335-9224A0A5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BC8B78-27C9-47EC-B1E6-A957068D365A}">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65558A-FB05-4F58-9C83-11E3EF591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14444</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2018-05-10T14:29:00Z</cp:lastPrinted>
  <dcterms:created xsi:type="dcterms:W3CDTF">2019-09-30T16:55:00Z</dcterms:created>
  <dcterms:modified xsi:type="dcterms:W3CDTF">2019-09-30T16:55:00Z</dcterms:modified>
</cp:coreProperties>
</file>