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25577" w14:textId="77777777" w:rsidR="000D09A7" w:rsidRPr="008C4E35" w:rsidRDefault="000D09A7" w:rsidP="00D574CA">
      <w:pPr>
        <w:pStyle w:val="PolicyMainHead"/>
        <w:tabs>
          <w:tab w:val="left" w:pos="360"/>
        </w:tabs>
        <w:spacing w:after="0" w:line="240" w:lineRule="auto"/>
        <w:rPr>
          <w:rFonts w:ascii="Times New Roman" w:hAnsi="Times New Roman"/>
          <w:color w:val="00548C"/>
          <w:sz w:val="32"/>
          <w:szCs w:val="32"/>
        </w:rPr>
        <w:sectPr w:rsidR="000D09A7" w:rsidRPr="008C4E35"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7848F2">
        <w:rPr>
          <w:rFonts w:ascii="Times New Roman" w:hAnsi="Times New Roman"/>
          <w:color w:val="00548C"/>
          <w:sz w:val="32"/>
          <w:szCs w:val="32"/>
        </w:rPr>
        <w:t>O</w:t>
      </w:r>
      <w:r w:rsidR="00194DB8">
        <w:rPr>
          <w:rFonts w:ascii="Times New Roman" w:hAnsi="Times New Roman"/>
          <w:color w:val="00548C"/>
          <w:sz w:val="32"/>
          <w:szCs w:val="32"/>
        </w:rPr>
        <w:t>ptic Nerve</w:t>
      </w:r>
      <w:r w:rsidRPr="00B90F81">
        <w:rPr>
          <w:rFonts w:ascii="Times New Roman" w:hAnsi="Times New Roman"/>
          <w:color w:val="00548C"/>
          <w:sz w:val="32"/>
          <w:szCs w:val="32"/>
        </w:rPr>
        <w:t xml:space="preserve"> Decompression Surgery</w:t>
      </w:r>
    </w:p>
    <w:p w14:paraId="68725578" w14:textId="77777777" w:rsidR="000D09A7" w:rsidRDefault="000D09A7" w:rsidP="008C4E35">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B96EEA">
        <w:rPr>
          <w:rFonts w:ascii="Times New Roman" w:hAnsi="Times New Roman"/>
          <w:color w:val="00548C"/>
          <w:sz w:val="24"/>
          <w:szCs w:val="24"/>
        </w:rPr>
        <w:t>128</w:t>
      </w:r>
      <w:r w:rsidRPr="003D7BE7">
        <w:rPr>
          <w:rFonts w:ascii="Times New Roman" w:hAnsi="Times New Roman"/>
          <w:color w:val="00548C"/>
          <w:sz w:val="24"/>
          <w:szCs w:val="24"/>
        </w:rPr>
        <w:tab/>
      </w:r>
    </w:p>
    <w:p w14:paraId="68725579" w14:textId="77777777" w:rsidR="008C4E35" w:rsidRPr="003D7BE7" w:rsidRDefault="000D09A7" w:rsidP="008C4E35">
      <w:pPr>
        <w:pStyle w:val="PolicyMainHead"/>
        <w:tabs>
          <w:tab w:val="left" w:pos="360"/>
        </w:tabs>
        <w:spacing w:after="0" w:line="240" w:lineRule="auto"/>
        <w:jc w:val="right"/>
        <w:rPr>
          <w:rFonts w:ascii="Times New Roman" w:hAnsi="Times New Roman"/>
          <w:color w:val="00548C"/>
          <w:sz w:val="24"/>
          <w:szCs w:val="24"/>
        </w:rPr>
        <w:sectPr w:rsidR="008C4E35"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hyperlink w:anchor="Coding_Implications" w:history="1">
        <w:r w:rsidR="008C4E35" w:rsidRPr="00875924">
          <w:rPr>
            <w:rStyle w:val="Hyperlink"/>
            <w:rFonts w:ascii="Times New Roman" w:hAnsi="Times New Roman"/>
            <w:sz w:val="24"/>
            <w:szCs w:val="24"/>
          </w:rPr>
          <w:t>Coding Implications</w:t>
        </w:r>
      </w:hyperlink>
      <w:r w:rsidR="008C4E35" w:rsidRPr="003D7BE7">
        <w:rPr>
          <w:rFonts w:ascii="Times New Roman" w:hAnsi="Times New Roman"/>
          <w:color w:val="00548C"/>
          <w:sz w:val="24"/>
          <w:szCs w:val="24"/>
        </w:rPr>
        <w:t xml:space="preserve"> </w:t>
      </w:r>
    </w:p>
    <w:p w14:paraId="6872557A" w14:textId="6FADCCC3" w:rsidR="008C4E35" w:rsidRDefault="008C4E35" w:rsidP="008C4E35">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 xml:space="preserve">      </w:t>
      </w: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704E9B">
        <w:rPr>
          <w:rFonts w:ascii="Times New Roman" w:hAnsi="Times New Roman"/>
          <w:color w:val="00548C"/>
          <w:sz w:val="24"/>
          <w:szCs w:val="24"/>
        </w:rPr>
        <w:t>8</w:t>
      </w:r>
      <w:r>
        <w:rPr>
          <w:rFonts w:ascii="Times New Roman" w:hAnsi="Times New Roman"/>
          <w:color w:val="00548C"/>
          <w:sz w:val="24"/>
          <w:szCs w:val="24"/>
        </w:rPr>
        <w:t>/1</w:t>
      </w:r>
      <w:r w:rsidR="002B41E6">
        <w:rPr>
          <w:rFonts w:ascii="Times New Roman" w:hAnsi="Times New Roman"/>
          <w:color w:val="00548C"/>
          <w:sz w:val="24"/>
          <w:szCs w:val="24"/>
        </w:rPr>
        <w:t>9</w:t>
      </w:r>
    </w:p>
    <w:p w14:paraId="6872557B" w14:textId="77777777" w:rsidR="000D09A7" w:rsidRPr="003D7BE7" w:rsidRDefault="008C4E35" w:rsidP="008C4E35">
      <w:pPr>
        <w:pStyle w:val="PolicyMainHead"/>
        <w:spacing w:after="0" w:line="240" w:lineRule="auto"/>
        <w:ind w:left="360"/>
        <w:rPr>
          <w:rFonts w:ascii="Times New Roman" w:hAnsi="Times New Roman"/>
          <w:color w:val="00548C"/>
          <w:sz w:val="24"/>
          <w:szCs w:val="24"/>
        </w:rPr>
        <w:sectPr w:rsidR="000D09A7" w:rsidRPr="003D7BE7" w:rsidSect="00480C09">
          <w:type w:val="continuous"/>
          <w:pgSz w:w="12240" w:h="15840" w:code="1"/>
          <w:pgMar w:top="1440" w:right="1080" w:bottom="1440" w:left="108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p>
    <w:p w14:paraId="6872557C" w14:textId="77777777" w:rsidR="000D09A7" w:rsidRPr="003D7BE7" w:rsidRDefault="000D09A7" w:rsidP="00D574CA">
      <w:pPr>
        <w:pStyle w:val="PolicyMainHead"/>
        <w:tabs>
          <w:tab w:val="left" w:pos="360"/>
        </w:tabs>
        <w:spacing w:after="0" w:line="240" w:lineRule="auto"/>
        <w:rPr>
          <w:rFonts w:ascii="Times New Roman" w:hAnsi="Times New Roman"/>
          <w:color w:val="00548C"/>
          <w:sz w:val="24"/>
          <w:szCs w:val="24"/>
        </w:rPr>
      </w:pPr>
    </w:p>
    <w:p w14:paraId="6872557D" w14:textId="77777777" w:rsidR="008C4E35" w:rsidRDefault="000D09A7" w:rsidP="008C4E35">
      <w:pPr>
        <w:pStyle w:val="PolicyMainHead"/>
        <w:tabs>
          <w:tab w:val="left" w:pos="360"/>
        </w:tabs>
        <w:spacing w:after="0" w:line="240" w:lineRule="auto"/>
        <w:jc w:val="right"/>
        <w:rPr>
          <w:rFonts w:ascii="Times New Roman" w:hAnsi="Times New Roman"/>
          <w:color w:val="00548C"/>
          <w:sz w:val="24"/>
          <w:szCs w:val="24"/>
        </w:rPr>
      </w:pPr>
      <w:r w:rsidRPr="003D7BE7">
        <w:rPr>
          <w:rFonts w:ascii="Times New Roman" w:hAnsi="Times New Roman"/>
          <w:color w:val="00548C"/>
          <w:sz w:val="24"/>
          <w:szCs w:val="24"/>
        </w:rPr>
        <w:tab/>
      </w:r>
    </w:p>
    <w:p w14:paraId="6872557E" w14:textId="77777777" w:rsidR="000D09A7" w:rsidRDefault="000D09A7" w:rsidP="008C4E35">
      <w:pPr>
        <w:pStyle w:val="PolicyMainHead"/>
        <w:tabs>
          <w:tab w:val="left" w:pos="360"/>
        </w:tabs>
        <w:spacing w:after="0" w:line="240" w:lineRule="auto"/>
        <w:jc w:val="center"/>
        <w:rPr>
          <w:rStyle w:val="Strong"/>
          <w:rFonts w:ascii="Times New Roman" w:hAnsi="Times New Roman"/>
          <w:b w:val="0"/>
          <w:u w:val="single"/>
        </w:rPr>
        <w:sectPr w:rsidR="000D09A7" w:rsidSect="00875924">
          <w:type w:val="continuous"/>
          <w:pgSz w:w="12240" w:h="15840" w:code="1"/>
          <w:pgMar w:top="1440" w:right="1170" w:bottom="1440" w:left="1440" w:header="576" w:footer="288" w:gutter="0"/>
          <w:cols w:num="2" w:space="720"/>
          <w:titlePg/>
          <w:docGrid w:linePitch="360"/>
        </w:sectPr>
      </w:pPr>
    </w:p>
    <w:p w14:paraId="6872557F" w14:textId="77777777" w:rsidR="000D09A7" w:rsidRPr="008C4E35" w:rsidRDefault="000D09A7" w:rsidP="008C4E35">
      <w:pPr>
        <w:pStyle w:val="NormalWeb"/>
        <w:tabs>
          <w:tab w:val="left" w:pos="975"/>
        </w:tabs>
        <w:spacing w:before="0" w:beforeAutospacing="0" w:after="0" w:afterAutospacing="0"/>
        <w:rPr>
          <w:rStyle w:val="Strong"/>
          <w:rFonts w:ascii="Times New Roman" w:hAnsi="Times New Roman"/>
          <w:b w:val="0"/>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68725580" w14:textId="77777777" w:rsidR="000D09A7" w:rsidRDefault="000D09A7" w:rsidP="00875924">
      <w:pPr>
        <w:pStyle w:val="NormalWeb"/>
        <w:spacing w:before="0" w:beforeAutospacing="0" w:after="0" w:afterAutospacing="0"/>
        <w:jc w:val="center"/>
        <w:rPr>
          <w:rStyle w:val="Strong"/>
          <w:rFonts w:ascii="Times New Roman" w:hAnsi="Times New Roman"/>
          <w:b w:val="0"/>
          <w:u w:val="single"/>
        </w:rPr>
      </w:pPr>
    </w:p>
    <w:p w14:paraId="68725581" w14:textId="77777777" w:rsidR="000D09A7" w:rsidRDefault="000D09A7" w:rsidP="00D97673">
      <w:pPr>
        <w:pStyle w:val="Heading1"/>
      </w:pPr>
      <w:r w:rsidRPr="00D97673">
        <w:rPr>
          <w:sz w:val="24"/>
        </w:rPr>
        <w:t>Description</w:t>
      </w:r>
      <w:r w:rsidRPr="00B777AF">
        <w:t xml:space="preserve"> </w:t>
      </w:r>
    </w:p>
    <w:p w14:paraId="68725582" w14:textId="77777777" w:rsidR="000D09A7" w:rsidRPr="00A63F80" w:rsidRDefault="007848F2" w:rsidP="00816209">
      <w:r>
        <w:t>Optic nerve (ON)</w:t>
      </w:r>
      <w:r w:rsidR="000D09A7" w:rsidRPr="00816209">
        <w:t xml:space="preserve"> sheath decompression involves direct decompression (fenestration) of the </w:t>
      </w:r>
      <w:r>
        <w:t>ON</w:t>
      </w:r>
      <w:r w:rsidR="000D09A7" w:rsidRPr="00816209">
        <w:t xml:space="preserve"> sheaths just behind the globe</w:t>
      </w:r>
      <w:r w:rsidR="000D09A7">
        <w:t>.  The a</w:t>
      </w:r>
      <w:r w:rsidR="000D09A7" w:rsidRPr="0039260D">
        <w:t xml:space="preserve">pproach and technique for an </w:t>
      </w:r>
      <w:r>
        <w:t>ON</w:t>
      </w:r>
      <w:r w:rsidR="000D09A7" w:rsidRPr="0039260D">
        <w:t xml:space="preserve"> sheath fenestration varies</w:t>
      </w:r>
      <w:r w:rsidR="000D09A7">
        <w:t>.</w:t>
      </w:r>
      <w:r w:rsidR="000D09A7" w:rsidRPr="00816209">
        <w:t xml:space="preserve"> </w:t>
      </w:r>
      <w:r w:rsidR="000D09A7">
        <w:t xml:space="preserve"> </w:t>
      </w:r>
      <w:r w:rsidR="000D09A7" w:rsidRPr="00A63F80">
        <w:t>This policy describes the medical necessity requirements</w:t>
      </w:r>
      <w:r w:rsidR="000D09A7">
        <w:t xml:space="preserve"> for </w:t>
      </w:r>
      <w:r>
        <w:t>ON</w:t>
      </w:r>
      <w:r w:rsidR="000D09A7">
        <w:t xml:space="preserve"> decompression surgery.</w:t>
      </w:r>
    </w:p>
    <w:p w14:paraId="68725583" w14:textId="77777777" w:rsidR="000D09A7" w:rsidRPr="00B777AF" w:rsidRDefault="000D09A7" w:rsidP="00196935"/>
    <w:p w14:paraId="68725584" w14:textId="77777777" w:rsidR="000D09A7" w:rsidRPr="00B777AF" w:rsidRDefault="000D09A7">
      <w:pPr>
        <w:pStyle w:val="Heading2"/>
        <w:rPr>
          <w:u w:val="none"/>
        </w:rPr>
      </w:pPr>
      <w:r w:rsidRPr="00B777AF">
        <w:rPr>
          <w:u w:val="none"/>
        </w:rPr>
        <w:t>Policy/Criteria</w:t>
      </w:r>
    </w:p>
    <w:p w14:paraId="68725585" w14:textId="2F4287DD" w:rsidR="00AA1A6A" w:rsidRDefault="000D09A7" w:rsidP="00C973B5">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r w:rsidR="007848F2">
        <w:t>ON</w:t>
      </w:r>
      <w:r w:rsidRPr="007C6D4F">
        <w:t xml:space="preserve"> sheath decompression surgery </w:t>
      </w:r>
      <w:r>
        <w:t xml:space="preserve">is </w:t>
      </w:r>
      <w:r w:rsidRPr="005D6347">
        <w:rPr>
          <w:b/>
        </w:rPr>
        <w:t>medically necessary</w:t>
      </w:r>
      <w:r>
        <w:t xml:space="preserve"> for </w:t>
      </w:r>
      <w:r w:rsidR="00AA1A6A">
        <w:t xml:space="preserve">treatment of </w:t>
      </w:r>
      <w:r>
        <w:t xml:space="preserve">the </w:t>
      </w:r>
      <w:r w:rsidR="00AA1A6A">
        <w:t xml:space="preserve">following </w:t>
      </w:r>
      <w:r w:rsidR="009969D6">
        <w:t>conditions</w:t>
      </w:r>
      <w:r w:rsidR="00AA1A6A">
        <w:t>:</w:t>
      </w:r>
    </w:p>
    <w:p w14:paraId="68725586" w14:textId="5C73B730" w:rsidR="000D09A7" w:rsidRDefault="00AA1A6A" w:rsidP="00203E93">
      <w:pPr>
        <w:pStyle w:val="ListParagraph"/>
        <w:numPr>
          <w:ilvl w:val="0"/>
          <w:numId w:val="32"/>
        </w:numPr>
        <w:ind w:left="720"/>
      </w:pPr>
      <w:r>
        <w:t>P</w:t>
      </w:r>
      <w:r w:rsidR="000D09A7" w:rsidRPr="007C6D4F">
        <w:t>apilledema accompanying idiopathic</w:t>
      </w:r>
      <w:r w:rsidR="00E65CC5">
        <w:t xml:space="preserve"> intracranial hypertension</w:t>
      </w:r>
      <w:r w:rsidR="000D09A7" w:rsidRPr="007C6D4F">
        <w:t xml:space="preserve"> </w:t>
      </w:r>
      <w:r w:rsidR="00E65CC5">
        <w:t>(IIH)</w:t>
      </w:r>
      <w:r w:rsidR="000D09A7" w:rsidRPr="007C6D4F">
        <w:t xml:space="preserve"> </w:t>
      </w:r>
      <w:r w:rsidR="002B22BB">
        <w:t xml:space="preserve">with </w:t>
      </w:r>
      <w:r w:rsidR="000D09A7">
        <w:t>either of the following:</w:t>
      </w:r>
      <w:r w:rsidR="000D09A7" w:rsidRPr="007C6D4F">
        <w:t xml:space="preserve"> </w:t>
      </w:r>
    </w:p>
    <w:p w14:paraId="68725587" w14:textId="266308AC" w:rsidR="00AA1A6A" w:rsidRDefault="000D09A7" w:rsidP="00203E93">
      <w:pPr>
        <w:numPr>
          <w:ilvl w:val="0"/>
          <w:numId w:val="33"/>
        </w:numPr>
      </w:pPr>
      <w:r>
        <w:t>V</w:t>
      </w:r>
      <w:r w:rsidRPr="007C6D4F">
        <w:t xml:space="preserve">isual function </w:t>
      </w:r>
      <w:r>
        <w:t xml:space="preserve">that </w:t>
      </w:r>
      <w:r w:rsidRPr="007C6D4F">
        <w:t>is severely impaired or continue</w:t>
      </w:r>
      <w:r>
        <w:t>s</w:t>
      </w:r>
      <w:r w:rsidRPr="007C6D4F">
        <w:t xml:space="preserve"> to deteriorate</w:t>
      </w:r>
      <w:r w:rsidR="00BA5C11">
        <w:t>,</w:t>
      </w:r>
      <w:r w:rsidRPr="007C6D4F">
        <w:t xml:space="preserve"> despite aggressive medical management (e.g., Diamox, furosemide, and corticosteroids)</w:t>
      </w:r>
      <w:r>
        <w:t>;</w:t>
      </w:r>
      <w:r w:rsidR="00812EF7">
        <w:t xml:space="preserve"> or</w:t>
      </w:r>
    </w:p>
    <w:p w14:paraId="68725588" w14:textId="77777777" w:rsidR="000D09A7" w:rsidRDefault="000D09A7" w:rsidP="00203E93">
      <w:pPr>
        <w:numPr>
          <w:ilvl w:val="0"/>
          <w:numId w:val="33"/>
        </w:numPr>
      </w:pPr>
      <w:r>
        <w:t>Incapacitating headaches</w:t>
      </w:r>
      <w:r w:rsidR="00AA1A6A">
        <w:t>;</w:t>
      </w:r>
    </w:p>
    <w:p w14:paraId="68725589" w14:textId="77777777" w:rsidR="009041BF" w:rsidRDefault="00AA1A6A" w:rsidP="00203E93">
      <w:pPr>
        <w:pStyle w:val="ListParagraph"/>
        <w:numPr>
          <w:ilvl w:val="0"/>
          <w:numId w:val="32"/>
        </w:numPr>
        <w:ind w:left="720"/>
      </w:pPr>
      <w:r>
        <w:t>Traumatic optic neuropathy (TON)</w:t>
      </w:r>
      <w:r w:rsidR="009041BF">
        <w:t xml:space="preserve"> with radiologic evidence of any of the following:</w:t>
      </w:r>
    </w:p>
    <w:p w14:paraId="6872558A" w14:textId="77777777" w:rsidR="00AA1A6A" w:rsidRDefault="009041BF" w:rsidP="00203E93">
      <w:pPr>
        <w:pStyle w:val="ListParagraph"/>
        <w:numPr>
          <w:ilvl w:val="1"/>
          <w:numId w:val="32"/>
        </w:numPr>
        <w:ind w:left="1080"/>
      </w:pPr>
      <w:r>
        <w:t xml:space="preserve">Optic canal fracture with impingement of the </w:t>
      </w:r>
      <w:r w:rsidR="007848F2">
        <w:t>ON</w:t>
      </w:r>
      <w:r>
        <w:t xml:space="preserve"> by a fracture fragment;</w:t>
      </w:r>
    </w:p>
    <w:p w14:paraId="6872558B" w14:textId="77777777" w:rsidR="009041BF" w:rsidRDefault="009041BF" w:rsidP="00203E93">
      <w:pPr>
        <w:pStyle w:val="ListParagraph"/>
        <w:numPr>
          <w:ilvl w:val="1"/>
          <w:numId w:val="32"/>
        </w:numPr>
        <w:ind w:left="1080"/>
      </w:pPr>
      <w:r>
        <w:t>Intraneural edema;</w:t>
      </w:r>
    </w:p>
    <w:p w14:paraId="6872558C" w14:textId="77777777" w:rsidR="009041BF" w:rsidRDefault="009041BF" w:rsidP="00203E93">
      <w:pPr>
        <w:pStyle w:val="ListParagraph"/>
        <w:numPr>
          <w:ilvl w:val="1"/>
          <w:numId w:val="32"/>
        </w:numPr>
        <w:ind w:left="1080"/>
      </w:pPr>
      <w:r>
        <w:t>Sheath hematoma;</w:t>
      </w:r>
    </w:p>
    <w:p w14:paraId="6872558D" w14:textId="77777777" w:rsidR="00AA1A6A" w:rsidRDefault="009041BF" w:rsidP="00203E93">
      <w:pPr>
        <w:pStyle w:val="ListParagraph"/>
        <w:numPr>
          <w:ilvl w:val="0"/>
          <w:numId w:val="32"/>
        </w:numPr>
        <w:ind w:left="720"/>
      </w:pPr>
      <w:r>
        <w:t>F</w:t>
      </w:r>
      <w:r w:rsidR="00AA1A6A">
        <w:t>acial fibrous dysplasia</w:t>
      </w:r>
      <w:r>
        <w:t>, and either of the following:</w:t>
      </w:r>
    </w:p>
    <w:p w14:paraId="6872558F" w14:textId="681B3CE8" w:rsidR="009041BF" w:rsidRDefault="007B1B66" w:rsidP="009969D6">
      <w:pPr>
        <w:pStyle w:val="ListParagraph"/>
        <w:numPr>
          <w:ilvl w:val="1"/>
          <w:numId w:val="32"/>
        </w:numPr>
        <w:ind w:left="1080"/>
      </w:pPr>
      <w:r>
        <w:t>Cystic degenerations and o</w:t>
      </w:r>
      <w:r w:rsidR="009041BF">
        <w:t>ptic canal narrowing</w:t>
      </w:r>
      <w:r w:rsidR="009969D6">
        <w:t xml:space="preserve">. </w:t>
      </w:r>
      <w:r>
        <w:t xml:space="preserve">If intent is prophylactic, risk of </w:t>
      </w:r>
      <w:r w:rsidR="007848F2">
        <w:t>ON</w:t>
      </w:r>
      <w:r>
        <w:t xml:space="preserve"> damage is clearly explained</w:t>
      </w:r>
      <w:r w:rsidR="009041BF">
        <w:t>;</w:t>
      </w:r>
    </w:p>
    <w:p w14:paraId="68725590" w14:textId="77777777" w:rsidR="009041BF" w:rsidRDefault="009041BF" w:rsidP="00203E93">
      <w:pPr>
        <w:pStyle w:val="ListParagraph"/>
        <w:numPr>
          <w:ilvl w:val="1"/>
          <w:numId w:val="32"/>
        </w:numPr>
        <w:ind w:left="1080"/>
      </w:pPr>
      <w:r>
        <w:t>Vision loss</w:t>
      </w:r>
      <w:r w:rsidR="007B1B66">
        <w:t>.</w:t>
      </w:r>
    </w:p>
    <w:p w14:paraId="68725591" w14:textId="77777777" w:rsidR="000D09A7" w:rsidRDefault="000D09A7" w:rsidP="00C973B5"/>
    <w:p w14:paraId="68725592" w14:textId="77FC7A3A" w:rsidR="000D09A7" w:rsidRDefault="000D09A7" w:rsidP="00C973B5">
      <w:pPr>
        <w:numPr>
          <w:ilvl w:val="0"/>
          <w:numId w:val="30"/>
        </w:numPr>
      </w:pPr>
      <w:r w:rsidRPr="00666F05">
        <w:t>It i</w:t>
      </w:r>
      <w:r w:rsidRPr="00912989">
        <w:t xml:space="preserve">s the policy of health plans affiliated with Centene Corporation that </w:t>
      </w:r>
      <w:r w:rsidR="007848F2">
        <w:t>ON</w:t>
      </w:r>
      <w:r w:rsidRPr="00912989">
        <w:t xml:space="preserve"> sheath decompression surgery is</w:t>
      </w:r>
      <w:r>
        <w:t xml:space="preserve"> </w:t>
      </w:r>
      <w:r w:rsidRPr="00C973B5">
        <w:rPr>
          <w:b/>
        </w:rPr>
        <w:t>investigational</w:t>
      </w:r>
      <w:r>
        <w:t xml:space="preserve"> </w:t>
      </w:r>
      <w:r w:rsidRPr="00912989">
        <w:t>for</w:t>
      </w:r>
      <w:r>
        <w:t xml:space="preserve"> </w:t>
      </w:r>
      <w:r w:rsidRPr="00912989">
        <w:t>the treatment of non-arteritic anterior ischemic optic neuropathy (NAION)</w:t>
      </w:r>
      <w:r w:rsidR="00AA1A6A">
        <w:t>.</w:t>
      </w:r>
    </w:p>
    <w:p w14:paraId="68725593" w14:textId="77777777" w:rsidR="000D09A7" w:rsidRDefault="000D09A7" w:rsidP="001E7224"/>
    <w:p w14:paraId="68725594" w14:textId="77777777" w:rsidR="000D09A7" w:rsidRDefault="000D09A7" w:rsidP="001E7224">
      <w:pPr>
        <w:rPr>
          <w:b/>
        </w:rPr>
      </w:pPr>
      <w:r w:rsidRPr="001E7224">
        <w:rPr>
          <w:b/>
        </w:rPr>
        <w:t>Background</w:t>
      </w:r>
    </w:p>
    <w:p w14:paraId="68725595" w14:textId="77777777" w:rsidR="000D09A7" w:rsidRDefault="007848F2" w:rsidP="001E7224">
      <w:r>
        <w:t>ON</w:t>
      </w:r>
      <w:r w:rsidR="000D09A7" w:rsidRPr="009577EB">
        <w:t xml:space="preserve"> sheath decompression </w:t>
      </w:r>
      <w:r w:rsidR="000D09A7">
        <w:t xml:space="preserve">surgery </w:t>
      </w:r>
      <w:r w:rsidR="000D09A7" w:rsidRPr="009577EB">
        <w:t xml:space="preserve">is typically performed in instances of papilledema due to idiopathic intracranial hypertension (IIH), in which the main symptom is rapid and/or progressive vision loss rather than headache.  The effect is normally limited to the ipsilateral </w:t>
      </w:r>
      <w:r>
        <w:t>ON</w:t>
      </w:r>
      <w:r w:rsidR="000D09A7" w:rsidRPr="009577EB">
        <w:t>, although occasionally the procedure appears to have a filtration effect, resulting in improvements in headaches and contralateral disc edema</w:t>
      </w:r>
      <w:r w:rsidR="00BA5C11">
        <w:t>,</w:t>
      </w:r>
      <w:r w:rsidR="000D09A7" w:rsidRPr="009577EB">
        <w:t xml:space="preserve"> as well.  </w:t>
      </w:r>
    </w:p>
    <w:p w14:paraId="68725596" w14:textId="77777777" w:rsidR="000D09A7" w:rsidRDefault="000D09A7" w:rsidP="001E7224"/>
    <w:p w14:paraId="68725597" w14:textId="77777777" w:rsidR="000D09A7" w:rsidRPr="009577EB" w:rsidRDefault="000D09A7" w:rsidP="001E7224">
      <w:pPr>
        <w:rPr>
          <w:i/>
        </w:rPr>
      </w:pPr>
      <w:r w:rsidRPr="009577EB">
        <w:rPr>
          <w:i/>
        </w:rPr>
        <w:t>Idiopathic intracranial hypertension</w:t>
      </w:r>
    </w:p>
    <w:p w14:paraId="68725598" w14:textId="5ED4B53B" w:rsidR="000D09A7" w:rsidRDefault="000D09A7" w:rsidP="001E7224">
      <w:r w:rsidRPr="00A95419">
        <w:t xml:space="preserve">IIH, also known as pseudotumor cerebri, is a disorder defined by clinical </w:t>
      </w:r>
      <w:r w:rsidR="009969D6" w:rsidRPr="00A95419">
        <w:t xml:space="preserve">criteria </w:t>
      </w:r>
      <w:r w:rsidR="009969D6">
        <w:t>that</w:t>
      </w:r>
      <w:r w:rsidR="00BA5C11" w:rsidRPr="00A95419">
        <w:t xml:space="preserve"> </w:t>
      </w:r>
      <w:r w:rsidRPr="00A95419">
        <w:t>include symptoms and signs isolated to those produced by increased intracranial pressure (e.g., headache, papilledema, vision loss), elevated intracranial pressure with normal cerebrospinal fluid composition, and no other cause of intracranial hypertension evident on neuroimaging or other evaluations</w:t>
      </w:r>
      <w:r w:rsidR="009969D6">
        <w:t xml:space="preserve">. </w:t>
      </w:r>
      <w:r w:rsidR="00317955" w:rsidRPr="009969D6">
        <w:rPr>
          <w:vertAlign w:val="superscript"/>
        </w:rPr>
        <w:t>1</w:t>
      </w:r>
      <w:r w:rsidR="006B24B2">
        <w:rPr>
          <w:vertAlign w:val="superscript"/>
        </w:rPr>
        <w:t>7</w:t>
      </w:r>
      <w:r w:rsidR="000A2A20">
        <w:t xml:space="preserve"> The incidence o</w:t>
      </w:r>
      <w:r w:rsidRPr="00816209">
        <w:t>f IIH in the general population is thought to be about 1 per 100,000. In obese</w:t>
      </w:r>
      <w:r w:rsidR="000A2A20">
        <w:t>,</w:t>
      </w:r>
      <w:r w:rsidRPr="00816209">
        <w:t xml:space="preserve"> young females the incidence of IIH is about 20 per 100,000. IIH occurs in </w:t>
      </w:r>
      <w:r w:rsidRPr="00816209">
        <w:lastRenderedPageBreak/>
        <w:t>men and children as well, but with substantially lower frequency. Weight is not usually a factor in men and in children under 10 years of age. Many individuals suffer from intractable, disabling headaches, and there is a risk of severe, permanent vision loss. Individuals with mild vision loss have an associated reduction in quality of life.  Recommendations for the treatment of IIH are limited due to a lack of randomized controlled trials.  In addition, the natural history of untreated IIH is uncertain.</w:t>
      </w:r>
    </w:p>
    <w:p w14:paraId="68725599" w14:textId="77777777" w:rsidR="000D09A7" w:rsidRPr="00816209" w:rsidRDefault="000D09A7" w:rsidP="001E7224">
      <w:r w:rsidRPr="00816209">
        <w:t xml:space="preserve">  </w:t>
      </w:r>
    </w:p>
    <w:p w14:paraId="6872559A" w14:textId="77777777" w:rsidR="000D09A7" w:rsidRDefault="000D09A7" w:rsidP="007A1106">
      <w:pPr>
        <w:rPr>
          <w:bCs/>
        </w:rPr>
      </w:pPr>
      <w:r w:rsidRPr="007A1106">
        <w:rPr>
          <w:bCs/>
        </w:rPr>
        <w:t xml:space="preserve">The goals of treatment are to detect and prevent vision loss, to reduce the </w:t>
      </w:r>
      <w:r w:rsidR="0014738D">
        <w:rPr>
          <w:bCs/>
        </w:rPr>
        <w:t xml:space="preserve">intracranial pressure, </w:t>
      </w:r>
      <w:r w:rsidRPr="007A1106">
        <w:rPr>
          <w:bCs/>
        </w:rPr>
        <w:t>and to relieve headache.</w:t>
      </w:r>
      <w:r>
        <w:rPr>
          <w:bCs/>
        </w:rPr>
        <w:t xml:space="preserve"> </w:t>
      </w:r>
      <w:r w:rsidRPr="007A1106">
        <w:rPr>
          <w:bCs/>
        </w:rPr>
        <w:t xml:space="preserve"> Medical treatment consists of first line treatment with Diamox (acetazolamide), which inhibits choroid plexus carbonic anhydrase and reduces </w:t>
      </w:r>
      <w:r w:rsidR="000A2A20">
        <w:rPr>
          <w:bCs/>
        </w:rPr>
        <w:t xml:space="preserve">cerebrospinal fluid </w:t>
      </w:r>
      <w:r w:rsidRPr="007A1106">
        <w:rPr>
          <w:bCs/>
        </w:rPr>
        <w:t>production by 50 to 60%. Furosemide (Lasix</w:t>
      </w:r>
      <w:r w:rsidR="000A2A20" w:rsidRPr="000A2A20">
        <w:rPr>
          <w:bCs/>
          <w:vertAlign w:val="superscript"/>
        </w:rPr>
        <w:t>®</w:t>
      </w:r>
      <w:r w:rsidRPr="007A1106">
        <w:rPr>
          <w:bCs/>
        </w:rPr>
        <w:t>) and corticosteroids can be added. Surgery is reserved for patients whose visual function is severely impaired or continues to deteriorate despite aggressive medical management. Those who suffer incapacitating headaches may also be candidates for surgery</w:t>
      </w:r>
      <w:r>
        <w:rPr>
          <w:bCs/>
        </w:rPr>
        <w:t xml:space="preserve">.  </w:t>
      </w:r>
    </w:p>
    <w:p w14:paraId="6872559B" w14:textId="77777777" w:rsidR="000D09A7" w:rsidRDefault="000D09A7" w:rsidP="007A1106">
      <w:pPr>
        <w:rPr>
          <w:bCs/>
        </w:rPr>
      </w:pPr>
    </w:p>
    <w:p w14:paraId="6872559C" w14:textId="77777777" w:rsidR="000D09A7" w:rsidRDefault="000D09A7" w:rsidP="007A1106">
      <w:pPr>
        <w:rPr>
          <w:bCs/>
        </w:rPr>
      </w:pPr>
      <w:r w:rsidRPr="00816209">
        <w:rPr>
          <w:bCs/>
        </w:rPr>
        <w:t xml:space="preserve">Surgical options include </w:t>
      </w:r>
      <w:r w:rsidR="007848F2">
        <w:rPr>
          <w:bCs/>
        </w:rPr>
        <w:t>ON</w:t>
      </w:r>
      <w:r w:rsidRPr="00816209">
        <w:rPr>
          <w:bCs/>
        </w:rPr>
        <w:t xml:space="preserve"> sheath decompression and lumboperitoneal shunting</w:t>
      </w:r>
      <w:r w:rsidR="00BA5C11">
        <w:rPr>
          <w:bCs/>
        </w:rPr>
        <w:t>.  H</w:t>
      </w:r>
      <w:r w:rsidRPr="00816209">
        <w:rPr>
          <w:bCs/>
        </w:rPr>
        <w:t xml:space="preserve">owever, prevailing opinion seems to favor the former. This procedure has been found to be highly effective for relief of papilledema. In fact, following a unilateral procedure, most patients have improvement in bilateral disc swelling and in severity of headache. Stabilization or improvement of vision occurs in an estimated 85 to 100% of patients. Visual function is greatly improved in patients with acute rather than chronic papilledema. Thus, in patients with significant visual loss, waiting a prolonged period for a response to medical therapy may not be warranted. </w:t>
      </w:r>
      <w:r w:rsidR="007848F2">
        <w:rPr>
          <w:bCs/>
        </w:rPr>
        <w:t>ON</w:t>
      </w:r>
      <w:r w:rsidRPr="00816209">
        <w:rPr>
          <w:bCs/>
        </w:rPr>
        <w:t xml:space="preserve"> sheath decompression also </w:t>
      </w:r>
      <w:r w:rsidR="00BA5C11">
        <w:rPr>
          <w:bCs/>
        </w:rPr>
        <w:t>may</w:t>
      </w:r>
      <w:r w:rsidR="00BA5C11" w:rsidRPr="00816209">
        <w:rPr>
          <w:bCs/>
        </w:rPr>
        <w:t xml:space="preserve"> </w:t>
      </w:r>
      <w:r w:rsidRPr="00816209">
        <w:rPr>
          <w:bCs/>
        </w:rPr>
        <w:t>improve visual function in patients with progressive visual loss despite functioning lumboperitoneal shunts.</w:t>
      </w:r>
    </w:p>
    <w:p w14:paraId="6872559D" w14:textId="77777777" w:rsidR="000D09A7" w:rsidRDefault="000D09A7" w:rsidP="007A1106">
      <w:pPr>
        <w:rPr>
          <w:bCs/>
        </w:rPr>
      </w:pPr>
    </w:p>
    <w:p w14:paraId="6872559E" w14:textId="77777777" w:rsidR="004F7859" w:rsidRPr="009577EB" w:rsidRDefault="004F7859" w:rsidP="004F7859">
      <w:pPr>
        <w:rPr>
          <w:bCs/>
          <w:i/>
        </w:rPr>
      </w:pPr>
      <w:r w:rsidRPr="009577EB">
        <w:rPr>
          <w:bCs/>
          <w:i/>
        </w:rPr>
        <w:t>Traumatic optic neuropathy</w:t>
      </w:r>
    </w:p>
    <w:p w14:paraId="6872559F" w14:textId="77777777" w:rsidR="004F7859" w:rsidRDefault="004F7859" w:rsidP="004F7859">
      <w:pPr>
        <w:rPr>
          <w:bCs/>
        </w:rPr>
      </w:pPr>
      <w:r w:rsidRPr="00816209">
        <w:rPr>
          <w:bCs/>
        </w:rPr>
        <w:t xml:space="preserve">TON is an important cause of severe visual loss following blunt or penetrating head trauma. Following the initial insult, </w:t>
      </w:r>
      <w:r w:rsidR="007848F2">
        <w:rPr>
          <w:bCs/>
        </w:rPr>
        <w:t>ON</w:t>
      </w:r>
      <w:r w:rsidRPr="00816209">
        <w:rPr>
          <w:bCs/>
        </w:rPr>
        <w:t xml:space="preserve"> swelling within the </w:t>
      </w:r>
      <w:r w:rsidR="007848F2">
        <w:rPr>
          <w:bCs/>
        </w:rPr>
        <w:t>ON</w:t>
      </w:r>
      <w:r w:rsidRPr="00816209">
        <w:rPr>
          <w:bCs/>
        </w:rPr>
        <w:t xml:space="preserve"> canal or compression by bone fragments are thought to result in secondary retinal ganglion cell loss. </w:t>
      </w:r>
      <w:r w:rsidR="007848F2">
        <w:rPr>
          <w:bCs/>
        </w:rPr>
        <w:t>ON</w:t>
      </w:r>
      <w:r w:rsidRPr="00816209">
        <w:rPr>
          <w:bCs/>
        </w:rPr>
        <w:t xml:space="preserve"> decompression with steroids or surgical interventions</w:t>
      </w:r>
      <w:r>
        <w:rPr>
          <w:bCs/>
        </w:rPr>
        <w:t>,</w:t>
      </w:r>
      <w:r w:rsidRPr="00816209">
        <w:rPr>
          <w:bCs/>
        </w:rPr>
        <w:t xml:space="preserve"> or both</w:t>
      </w:r>
      <w:r>
        <w:rPr>
          <w:bCs/>
        </w:rPr>
        <w:t>,</w:t>
      </w:r>
      <w:r w:rsidRPr="00816209">
        <w:rPr>
          <w:bCs/>
        </w:rPr>
        <w:t xml:space="preserve"> have been advocated to improve visual prognosis in TON. </w:t>
      </w:r>
    </w:p>
    <w:p w14:paraId="687255A0" w14:textId="77777777" w:rsidR="004F7859" w:rsidRDefault="004F7859" w:rsidP="004F7859">
      <w:pPr>
        <w:rPr>
          <w:bCs/>
        </w:rPr>
      </w:pPr>
    </w:p>
    <w:p w14:paraId="687255A1" w14:textId="090AC4CD" w:rsidR="00A04230" w:rsidRPr="006F1564" w:rsidRDefault="00FA6583" w:rsidP="007A1106">
      <w:pPr>
        <w:rPr>
          <w:bCs/>
        </w:rPr>
      </w:pPr>
      <w:r>
        <w:rPr>
          <w:bCs/>
        </w:rPr>
        <w:t xml:space="preserve">A 2013 Cochrane Review of surgical treatment for TON concluded there is not enough evidence that surgical decompression of the </w:t>
      </w:r>
      <w:r w:rsidR="007848F2">
        <w:rPr>
          <w:bCs/>
        </w:rPr>
        <w:t>ON</w:t>
      </w:r>
      <w:r>
        <w:rPr>
          <w:bCs/>
        </w:rPr>
        <w:t xml:space="preserve"> provides any additional benefit</w:t>
      </w:r>
      <w:r w:rsidR="00C12793">
        <w:rPr>
          <w:bCs/>
        </w:rPr>
        <w:t xml:space="preserve"> beyond conservative management</w:t>
      </w:r>
      <w:r>
        <w:rPr>
          <w:bCs/>
        </w:rPr>
        <w:t>, citing a lack of randomized controlled trials</w:t>
      </w:r>
      <w:r w:rsidR="00C12793">
        <w:rPr>
          <w:bCs/>
        </w:rPr>
        <w:t xml:space="preserve"> (RCTs)</w:t>
      </w:r>
      <w:r>
        <w:rPr>
          <w:bCs/>
        </w:rPr>
        <w:t>, and a wide range of surgical techniques that make comparisons difficult.</w:t>
      </w:r>
      <w:r w:rsidR="009969D6">
        <w:rPr>
          <w:bCs/>
        </w:rPr>
        <w:t xml:space="preserve"> </w:t>
      </w:r>
      <w:r w:rsidR="00A01627">
        <w:rPr>
          <w:bCs/>
          <w:vertAlign w:val="superscript"/>
        </w:rPr>
        <w:t>1</w:t>
      </w:r>
      <w:r w:rsidR="005D1649">
        <w:rPr>
          <w:bCs/>
          <w:vertAlign w:val="superscript"/>
        </w:rPr>
        <w:t>0</w:t>
      </w:r>
      <w:r w:rsidR="007848F2">
        <w:rPr>
          <w:bCs/>
          <w:vertAlign w:val="superscript"/>
        </w:rPr>
        <w:t xml:space="preserve"> </w:t>
      </w:r>
      <w:r w:rsidR="009969D6">
        <w:rPr>
          <w:bCs/>
          <w:vertAlign w:val="superscript"/>
        </w:rPr>
        <w:t xml:space="preserve"> </w:t>
      </w:r>
      <w:r w:rsidR="007848F2">
        <w:rPr>
          <w:bCs/>
        </w:rPr>
        <w:t xml:space="preserve">Given that it would be quite difficult to conduct an adequately powered </w:t>
      </w:r>
      <w:r w:rsidR="00C12793">
        <w:rPr>
          <w:bCs/>
        </w:rPr>
        <w:t>RCT</w:t>
      </w:r>
      <w:r w:rsidR="007848F2">
        <w:rPr>
          <w:bCs/>
        </w:rPr>
        <w:t xml:space="preserve"> of surgical ON decompression</w:t>
      </w:r>
      <w:r w:rsidR="00C12793">
        <w:rPr>
          <w:bCs/>
        </w:rPr>
        <w:t xml:space="preserve"> for TON</w:t>
      </w:r>
      <w:r w:rsidR="007848F2">
        <w:rPr>
          <w:bCs/>
        </w:rPr>
        <w:t xml:space="preserve">, the </w:t>
      </w:r>
      <w:r w:rsidR="0099624C">
        <w:rPr>
          <w:bCs/>
        </w:rPr>
        <w:t>authors’</w:t>
      </w:r>
      <w:r w:rsidR="007848F2">
        <w:rPr>
          <w:bCs/>
        </w:rPr>
        <w:t xml:space="preserve"> state ON decompression for TON should be assessed on a case by case basis, taking risks of surgery into consideration.</w:t>
      </w:r>
      <w:r w:rsidR="009969D6">
        <w:rPr>
          <w:bCs/>
        </w:rPr>
        <w:t xml:space="preserve"> </w:t>
      </w:r>
      <w:r w:rsidR="007848F2">
        <w:rPr>
          <w:bCs/>
          <w:vertAlign w:val="superscript"/>
        </w:rPr>
        <w:t>1</w:t>
      </w:r>
      <w:r w:rsidR="006B24B2">
        <w:rPr>
          <w:bCs/>
          <w:vertAlign w:val="superscript"/>
        </w:rPr>
        <w:t>0</w:t>
      </w:r>
      <w:r w:rsidR="007848F2">
        <w:rPr>
          <w:bCs/>
        </w:rPr>
        <w:t xml:space="preserve"> </w:t>
      </w:r>
      <w:r w:rsidR="009969D6">
        <w:rPr>
          <w:bCs/>
        </w:rPr>
        <w:t xml:space="preserve"> </w:t>
      </w:r>
      <w:r>
        <w:rPr>
          <w:bCs/>
        </w:rPr>
        <w:t xml:space="preserve">A </w:t>
      </w:r>
      <w:r w:rsidR="00A01627">
        <w:rPr>
          <w:bCs/>
        </w:rPr>
        <w:t>2015</w:t>
      </w:r>
      <w:r>
        <w:rPr>
          <w:bCs/>
        </w:rPr>
        <w:t xml:space="preserve"> review of TON investigation and management included </w:t>
      </w:r>
      <w:r w:rsidR="00A01627">
        <w:rPr>
          <w:bCs/>
        </w:rPr>
        <w:t>14 articles regarding treatment for TON.</w:t>
      </w:r>
      <w:r w:rsidR="009969D6">
        <w:rPr>
          <w:bCs/>
        </w:rPr>
        <w:t xml:space="preserve"> </w:t>
      </w:r>
      <w:r w:rsidR="00A01627">
        <w:rPr>
          <w:bCs/>
          <w:vertAlign w:val="superscript"/>
        </w:rPr>
        <w:t>1</w:t>
      </w:r>
      <w:r w:rsidR="00A01627">
        <w:rPr>
          <w:bCs/>
        </w:rPr>
        <w:t xml:space="preserve"> </w:t>
      </w:r>
      <w:r>
        <w:rPr>
          <w:bCs/>
        </w:rPr>
        <w:t xml:space="preserve"> </w:t>
      </w:r>
      <w:r w:rsidR="00A01627">
        <w:rPr>
          <w:bCs/>
        </w:rPr>
        <w:t xml:space="preserve">The authors noted that studies investigating </w:t>
      </w:r>
      <w:r w:rsidR="007848F2">
        <w:rPr>
          <w:bCs/>
        </w:rPr>
        <w:t>ON</w:t>
      </w:r>
      <w:r w:rsidR="00A01627">
        <w:rPr>
          <w:bCs/>
        </w:rPr>
        <w:t xml:space="preserve"> decompression for TON are largely</w:t>
      </w:r>
      <w:r w:rsidR="00A04230">
        <w:rPr>
          <w:bCs/>
        </w:rPr>
        <w:t xml:space="preserve"> small and retrospective,</w:t>
      </w:r>
      <w:r w:rsidR="006F1564">
        <w:rPr>
          <w:bCs/>
        </w:rPr>
        <w:t xml:space="preserve"> with one larger study- the International </w:t>
      </w:r>
      <w:r w:rsidR="00CB4600">
        <w:rPr>
          <w:bCs/>
        </w:rPr>
        <w:t>Optic Nerve</w:t>
      </w:r>
      <w:r w:rsidR="006F1564">
        <w:rPr>
          <w:bCs/>
        </w:rPr>
        <w:t xml:space="preserve"> Trauma Study- comprised of 133 patients. Across the studies reviewed, improvement after </w:t>
      </w:r>
      <w:r w:rsidR="007848F2">
        <w:rPr>
          <w:bCs/>
        </w:rPr>
        <w:t>ON</w:t>
      </w:r>
      <w:r w:rsidR="006F1564">
        <w:rPr>
          <w:bCs/>
        </w:rPr>
        <w:t xml:space="preserve"> decompression ranged from 27 to 82%, potentially reflecting the poorly defined indications for surgery. The authors argue that surgery should be reserved for instances in which “</w:t>
      </w:r>
      <w:r w:rsidR="006F1564" w:rsidRPr="006F1564">
        <w:rPr>
          <w:bCs/>
        </w:rPr>
        <w:t>there is radiological evidence of optic canal fracture (and impingement of ON by fracture fragment), intraneural edema or an ON sheath hematoma</w:t>
      </w:r>
      <w:r w:rsidR="006F1564">
        <w:rPr>
          <w:bCs/>
        </w:rPr>
        <w:t>.”</w:t>
      </w:r>
      <w:r w:rsidR="006F1564">
        <w:rPr>
          <w:bCs/>
          <w:vertAlign w:val="superscript"/>
        </w:rPr>
        <w:t xml:space="preserve">  </w:t>
      </w:r>
      <w:r w:rsidR="007848F2">
        <w:rPr>
          <w:bCs/>
          <w:vertAlign w:val="superscript"/>
        </w:rPr>
        <w:t xml:space="preserve">1 </w:t>
      </w:r>
    </w:p>
    <w:p w14:paraId="687255A2" w14:textId="77777777" w:rsidR="00A04230" w:rsidRDefault="00A04230" w:rsidP="007A1106">
      <w:pPr>
        <w:rPr>
          <w:bCs/>
        </w:rPr>
      </w:pPr>
    </w:p>
    <w:p w14:paraId="687255A3" w14:textId="3570EED4" w:rsidR="004F7859" w:rsidRPr="00203E93" w:rsidRDefault="007848F2" w:rsidP="007A1106">
      <w:pPr>
        <w:rPr>
          <w:bCs/>
          <w:i/>
        </w:rPr>
      </w:pPr>
      <w:r w:rsidRPr="00203E93">
        <w:rPr>
          <w:bCs/>
          <w:i/>
        </w:rPr>
        <w:lastRenderedPageBreak/>
        <w:t xml:space="preserve">Facial Fibrous </w:t>
      </w:r>
      <w:r w:rsidR="00653A78" w:rsidRPr="00203E93">
        <w:rPr>
          <w:bCs/>
          <w:i/>
        </w:rPr>
        <w:t>Dysplasia</w:t>
      </w:r>
    </w:p>
    <w:p w14:paraId="687255A4" w14:textId="720638C8" w:rsidR="007848F2" w:rsidRPr="00C12793" w:rsidRDefault="00C7654A" w:rsidP="007A1106">
      <w:pPr>
        <w:rPr>
          <w:bCs/>
          <w:vertAlign w:val="superscript"/>
        </w:rPr>
      </w:pPr>
      <w:r>
        <w:rPr>
          <w:bCs/>
        </w:rPr>
        <w:t>Fibrous dysplasia (FD) is a rare condition involving non-malignant overgrowth of bone; approximately 20% of FD cases involve craniofacial bones.</w:t>
      </w:r>
      <w:r w:rsidR="004D69AF">
        <w:rPr>
          <w:bCs/>
        </w:rPr>
        <w:t xml:space="preserve"> Surgery has been the primary form of management of compression of the optic nerve due to FD, although there is no clear agreement on timing of surgery, </w:t>
      </w:r>
      <w:r w:rsidR="00C12793">
        <w:rPr>
          <w:bCs/>
        </w:rPr>
        <w:t xml:space="preserve">or </w:t>
      </w:r>
      <w:r w:rsidR="004D69AF">
        <w:rPr>
          <w:bCs/>
        </w:rPr>
        <w:t>in wh</w:t>
      </w:r>
      <w:r w:rsidR="00C12793">
        <w:rPr>
          <w:bCs/>
        </w:rPr>
        <w:t>ich</w:t>
      </w:r>
      <w:r w:rsidR="004D69AF">
        <w:rPr>
          <w:bCs/>
        </w:rPr>
        <w:t xml:space="preserve"> circumstances the surgery is most beneficial.</w:t>
      </w:r>
      <w:r w:rsidR="004D69AF" w:rsidRPr="004D69AF">
        <w:rPr>
          <w:bCs/>
          <w:vertAlign w:val="superscript"/>
        </w:rPr>
        <w:t xml:space="preserve"> </w:t>
      </w:r>
      <w:r w:rsidR="006B24B2">
        <w:rPr>
          <w:bCs/>
          <w:vertAlign w:val="superscript"/>
        </w:rPr>
        <w:t>6</w:t>
      </w:r>
      <w:r w:rsidR="004D69AF">
        <w:rPr>
          <w:bCs/>
          <w:vertAlign w:val="superscript"/>
        </w:rPr>
        <w:t xml:space="preserve">  </w:t>
      </w:r>
      <w:r w:rsidR="004D69AF">
        <w:rPr>
          <w:bCs/>
        </w:rPr>
        <w:t xml:space="preserve"> </w:t>
      </w:r>
      <w:r w:rsidR="00C97EBD">
        <w:rPr>
          <w:bCs/>
        </w:rPr>
        <w:t xml:space="preserve">McCune-Albright syndrome </w:t>
      </w:r>
      <w:r w:rsidR="00C12793">
        <w:rPr>
          <w:bCs/>
        </w:rPr>
        <w:t xml:space="preserve">(MAS) </w:t>
      </w:r>
      <w:r w:rsidR="00C97EBD">
        <w:rPr>
          <w:bCs/>
        </w:rPr>
        <w:t>is a very rare condition that accounts for about 3% of all FD cases</w:t>
      </w:r>
      <w:r w:rsidR="002A6E64">
        <w:rPr>
          <w:bCs/>
        </w:rPr>
        <w:t xml:space="preserve">, and presents as polyostotic FD (involving multiple bones/foci of disease), </w:t>
      </w:r>
      <w:r w:rsidR="002A6E64" w:rsidRPr="002A6E64">
        <w:rPr>
          <w:bCs/>
        </w:rPr>
        <w:t>café-au-lait skin macules, and precocious puberty</w:t>
      </w:r>
      <w:r w:rsidR="002A6E64">
        <w:rPr>
          <w:bCs/>
        </w:rPr>
        <w:t>.</w:t>
      </w:r>
      <w:r w:rsidR="006B24B2" w:rsidRPr="009969D6">
        <w:rPr>
          <w:bCs/>
          <w:vertAlign w:val="superscript"/>
        </w:rPr>
        <w:t>2</w:t>
      </w:r>
      <w:r w:rsidR="002A6E64">
        <w:rPr>
          <w:bCs/>
          <w:vertAlign w:val="superscript"/>
        </w:rPr>
        <w:t xml:space="preserve"> </w:t>
      </w:r>
      <w:r w:rsidR="009969D6">
        <w:rPr>
          <w:bCs/>
          <w:vertAlign w:val="superscript"/>
        </w:rPr>
        <w:t xml:space="preserve"> </w:t>
      </w:r>
      <w:r w:rsidR="002A6E64">
        <w:rPr>
          <w:bCs/>
        </w:rPr>
        <w:t xml:space="preserve">Studies have shown that narrowing of the optic canal </w:t>
      </w:r>
      <w:r w:rsidR="00C12793">
        <w:rPr>
          <w:bCs/>
        </w:rPr>
        <w:t xml:space="preserve">in MAS </w:t>
      </w:r>
      <w:r w:rsidR="002A6E64">
        <w:rPr>
          <w:bCs/>
        </w:rPr>
        <w:t>is not directly correlated with vision loss, and that acute visual loss is related to aneurysmal bone cysts and mucoceles.</w:t>
      </w:r>
      <w:r w:rsidR="006B24B2" w:rsidRPr="009969D6">
        <w:rPr>
          <w:bCs/>
          <w:vertAlign w:val="superscript"/>
        </w:rPr>
        <w:t>2</w:t>
      </w:r>
      <w:r w:rsidR="002A6E64">
        <w:rPr>
          <w:bCs/>
          <w:vertAlign w:val="superscript"/>
        </w:rPr>
        <w:t xml:space="preserve"> </w:t>
      </w:r>
      <w:r w:rsidR="00C12793">
        <w:rPr>
          <w:bCs/>
        </w:rPr>
        <w:t xml:space="preserve"> However, ideal operative management of craniofacial dysplasia in MAS has not been established due to its rarity. </w:t>
      </w:r>
      <w:r w:rsidR="002A6E64">
        <w:rPr>
          <w:bCs/>
          <w:vertAlign w:val="superscript"/>
        </w:rPr>
        <w:t xml:space="preserve"> </w:t>
      </w:r>
      <w:r w:rsidR="002A6E64">
        <w:rPr>
          <w:bCs/>
        </w:rPr>
        <w:t xml:space="preserve">Due to the risks of </w:t>
      </w:r>
      <w:r w:rsidR="00C12793">
        <w:rPr>
          <w:bCs/>
        </w:rPr>
        <w:t>postoperative complications, which occur in 50% of patients, prophylactic surgery to prevent vision loss is only indicated in cases with aneurysmal bone cysts and mucoceles.</w:t>
      </w:r>
      <w:r w:rsidR="006B24B2" w:rsidRPr="009969D6">
        <w:rPr>
          <w:bCs/>
          <w:vertAlign w:val="superscript"/>
        </w:rPr>
        <w:t>2</w:t>
      </w:r>
      <w:r w:rsidR="00C12793">
        <w:rPr>
          <w:bCs/>
        </w:rPr>
        <w:t xml:space="preserve"> Otherwise, surgery to decompress the ON is reserved for cases of FD with established vision loss.</w:t>
      </w:r>
      <w:r w:rsidR="006B24B2" w:rsidRPr="009969D6">
        <w:rPr>
          <w:bCs/>
          <w:vertAlign w:val="superscript"/>
        </w:rPr>
        <w:t>2</w:t>
      </w:r>
    </w:p>
    <w:p w14:paraId="687255A5" w14:textId="77777777" w:rsidR="007848F2" w:rsidRDefault="007848F2" w:rsidP="007A1106">
      <w:pPr>
        <w:rPr>
          <w:bCs/>
        </w:rPr>
      </w:pPr>
    </w:p>
    <w:p w14:paraId="687255A6" w14:textId="77777777" w:rsidR="000D09A7" w:rsidRPr="009577EB" w:rsidRDefault="000D09A7" w:rsidP="007A1106">
      <w:pPr>
        <w:rPr>
          <w:bCs/>
          <w:i/>
        </w:rPr>
      </w:pPr>
      <w:r w:rsidRPr="009577EB">
        <w:rPr>
          <w:bCs/>
          <w:i/>
        </w:rPr>
        <w:t>Nonarteritic anterior ischemic optic neuropathy</w:t>
      </w:r>
    </w:p>
    <w:p w14:paraId="687255A7" w14:textId="5477470A" w:rsidR="000D09A7" w:rsidRPr="00A53103" w:rsidRDefault="000D09A7" w:rsidP="00816209">
      <w:pPr>
        <w:rPr>
          <w:bCs/>
        </w:rPr>
      </w:pPr>
      <w:r w:rsidRPr="00816209">
        <w:rPr>
          <w:bCs/>
        </w:rPr>
        <w:t xml:space="preserve">NAION is the most common form of ischemic optic neuropathy. It is an idiopathic, ischemic insult of the </w:t>
      </w:r>
      <w:r w:rsidR="007848F2">
        <w:rPr>
          <w:bCs/>
        </w:rPr>
        <w:t>ON</w:t>
      </w:r>
      <w:r w:rsidRPr="00816209">
        <w:rPr>
          <w:bCs/>
        </w:rPr>
        <w:t xml:space="preserve"> head characterized by acute, monocular, painless visual loss with optic disc swelling</w:t>
      </w:r>
      <w:r>
        <w:rPr>
          <w:bCs/>
        </w:rPr>
        <w:t xml:space="preserve">. </w:t>
      </w:r>
      <w:r w:rsidR="00B70E1E" w:rsidRPr="009969D6">
        <w:rPr>
          <w:bCs/>
          <w:vertAlign w:val="superscript"/>
        </w:rPr>
        <w:t>1</w:t>
      </w:r>
      <w:r w:rsidR="006B24B2">
        <w:rPr>
          <w:bCs/>
          <w:vertAlign w:val="superscript"/>
        </w:rPr>
        <w:t>8</w:t>
      </w:r>
      <w:r w:rsidRPr="00816209">
        <w:rPr>
          <w:bCs/>
        </w:rPr>
        <w:t xml:space="preserve">Visual function can be impaired through decreased central visual acuity or peripheral field loss, or both. </w:t>
      </w:r>
      <w:r w:rsidRPr="00A53103">
        <w:rPr>
          <w:bCs/>
        </w:rPr>
        <w:t>The typical presentation is sudden onset of painless monocular vision loss, often upon awakening</w:t>
      </w:r>
    </w:p>
    <w:p w14:paraId="687255A8" w14:textId="77777777" w:rsidR="000D09A7" w:rsidRPr="00816209" w:rsidRDefault="000D09A7" w:rsidP="00816209">
      <w:pPr>
        <w:rPr>
          <w:bCs/>
        </w:rPr>
      </w:pPr>
    </w:p>
    <w:p w14:paraId="687255A9" w14:textId="12A4E7DB" w:rsidR="000D09A7" w:rsidRPr="000C4E55" w:rsidRDefault="007848F2" w:rsidP="00816209">
      <w:pPr>
        <w:rPr>
          <w:bCs/>
        </w:rPr>
      </w:pPr>
      <w:r>
        <w:rPr>
          <w:bCs/>
        </w:rPr>
        <w:t>ON</w:t>
      </w:r>
      <w:r w:rsidR="000D09A7" w:rsidRPr="00816209">
        <w:rPr>
          <w:bCs/>
        </w:rPr>
        <w:t xml:space="preserve"> sheath decompression surgery</w:t>
      </w:r>
      <w:r w:rsidR="00BA5C11">
        <w:rPr>
          <w:bCs/>
        </w:rPr>
        <w:t xml:space="preserve"> </w:t>
      </w:r>
      <w:r w:rsidR="000D09A7" w:rsidRPr="00816209">
        <w:rPr>
          <w:bCs/>
        </w:rPr>
        <w:t xml:space="preserve">was reported in 1989 to be of benefit to patients with NAION. The presumed mechanism of action in </w:t>
      </w:r>
      <w:r>
        <w:rPr>
          <w:bCs/>
        </w:rPr>
        <w:t>ON</w:t>
      </w:r>
      <w:r w:rsidR="000D09A7" w:rsidRPr="00816209">
        <w:rPr>
          <w:bCs/>
        </w:rPr>
        <w:t xml:space="preserve"> decompression surgery revolved around restoration of impaired blood flow to the </w:t>
      </w:r>
      <w:r>
        <w:rPr>
          <w:bCs/>
        </w:rPr>
        <w:t>ON</w:t>
      </w:r>
      <w:r w:rsidR="000D09A7" w:rsidRPr="00816209">
        <w:rPr>
          <w:bCs/>
        </w:rPr>
        <w:t xml:space="preserve"> through reduction of the pressure around the nerve</w:t>
      </w:r>
      <w:r w:rsidR="000D09A7">
        <w:rPr>
          <w:bCs/>
        </w:rPr>
        <w:t>.</w:t>
      </w:r>
      <w:r w:rsidR="000D09A7" w:rsidRPr="00816209">
        <w:rPr>
          <w:bCs/>
        </w:rPr>
        <w:t xml:space="preserve">  Initial results of uncontrolled studies suggested that </w:t>
      </w:r>
      <w:r>
        <w:rPr>
          <w:bCs/>
        </w:rPr>
        <w:t>ON</w:t>
      </w:r>
      <w:r w:rsidR="000D09A7" w:rsidRPr="00816209">
        <w:rPr>
          <w:bCs/>
        </w:rPr>
        <w:t xml:space="preserve"> sheath decompression was a promising treatment of progressive visual loss in patients with NAION. Other investigators who evaluated this surgical procedure reported varying degrees of success. To resolve the controversy over the effectiveness of </w:t>
      </w:r>
      <w:r>
        <w:rPr>
          <w:bCs/>
        </w:rPr>
        <w:t>ON</w:t>
      </w:r>
      <w:r w:rsidR="000D09A7" w:rsidRPr="00816209">
        <w:rPr>
          <w:bCs/>
        </w:rPr>
        <w:t xml:space="preserve"> decompression for NAION, the National Eye Institute sponsored the Ischemic Optic Neuropathy Decompression Trial, a multicenter, randomized controlled clinical trial of </w:t>
      </w:r>
      <w:r>
        <w:rPr>
          <w:bCs/>
        </w:rPr>
        <w:t>ON</w:t>
      </w:r>
      <w:r w:rsidR="000D09A7" w:rsidRPr="00816209">
        <w:rPr>
          <w:bCs/>
        </w:rPr>
        <w:t xml:space="preserve"> decompression surgery for patients with NAION. </w:t>
      </w:r>
      <w:r w:rsidR="003C64F8" w:rsidRPr="009969D6">
        <w:rPr>
          <w:bCs/>
          <w:vertAlign w:val="superscript"/>
        </w:rPr>
        <w:t>5</w:t>
      </w:r>
      <w:r w:rsidR="000F0075">
        <w:rPr>
          <w:bCs/>
          <w:vertAlign w:val="superscript"/>
        </w:rPr>
        <w:t>.8</w:t>
      </w:r>
      <w:r w:rsidR="000D09A7" w:rsidRPr="00816209">
        <w:rPr>
          <w:bCs/>
        </w:rPr>
        <w:t xml:space="preserve">The study found no benefit from surgery in NAION patients with progressive visual loss; in fact, significantly more patients in the surgery group had progressive loss of vision than patients who received only careful follow-up. The investigators concluded that </w:t>
      </w:r>
      <w:r>
        <w:rPr>
          <w:bCs/>
        </w:rPr>
        <w:t>ON</w:t>
      </w:r>
      <w:r w:rsidR="000D09A7" w:rsidRPr="00816209">
        <w:rPr>
          <w:bCs/>
        </w:rPr>
        <w:t xml:space="preserve"> decompression surgery is not an effective treatment for NAION and</w:t>
      </w:r>
      <w:r w:rsidR="00BA5C11">
        <w:rPr>
          <w:bCs/>
        </w:rPr>
        <w:t>,</w:t>
      </w:r>
      <w:r w:rsidR="000D09A7" w:rsidRPr="00816209">
        <w:rPr>
          <w:bCs/>
        </w:rPr>
        <w:t xml:space="preserve"> in fact, may increase the risk of progressive visual loss in NAION patients.  </w:t>
      </w:r>
      <w:r w:rsidR="000D09A7" w:rsidRPr="000C4E55">
        <w:rPr>
          <w:bCs/>
        </w:rPr>
        <w:t>The trial was stopped early because the surgery was not helping the participants more than careful follow-up alone</w:t>
      </w:r>
      <w:r w:rsidR="000D09A7">
        <w:rPr>
          <w:bCs/>
        </w:rPr>
        <w:t xml:space="preserve">.  </w:t>
      </w:r>
      <w:r w:rsidR="000D09A7" w:rsidRPr="000C4E55">
        <w:rPr>
          <w:bCs/>
        </w:rPr>
        <w:t>Pain and double vision were harms experienced by some participants in the surgery group at one week after the surgery. The trial investigators reported that continued enrollment would be unlikely to produce results in favor of surgery.</w:t>
      </w:r>
    </w:p>
    <w:p w14:paraId="687255AA" w14:textId="77777777" w:rsidR="000D09A7" w:rsidRPr="007A1106" w:rsidRDefault="000D09A7" w:rsidP="007A1106">
      <w:pPr>
        <w:rPr>
          <w:bCs/>
          <w:color w:val="FF0000"/>
        </w:rPr>
      </w:pPr>
    </w:p>
    <w:p w14:paraId="687255AB" w14:textId="77777777" w:rsidR="000D09A7" w:rsidRPr="00B777AF" w:rsidRDefault="000D09A7" w:rsidP="00170B14">
      <w:pPr>
        <w:rPr>
          <w:b/>
        </w:rPr>
      </w:pPr>
      <w:bookmarkStart w:id="0" w:name="Coding_Implications"/>
      <w:r w:rsidRPr="00B777AF">
        <w:rPr>
          <w:b/>
        </w:rPr>
        <w:t>Coding Implications</w:t>
      </w:r>
    </w:p>
    <w:bookmarkEnd w:id="0"/>
    <w:p w14:paraId="687255AC" w14:textId="6F348C9A" w:rsidR="000D09A7" w:rsidRDefault="000D09A7"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2A3973">
        <w:t>9</w:t>
      </w:r>
      <w:r w:rsidRPr="00507DC0">
        <w:t>, American Medical Association. All rights reserved. CPT</w:t>
      </w:r>
      <w:r>
        <w:t xml:space="preserve"> codes and CPT</w:t>
      </w:r>
      <w:r w:rsidRPr="00507DC0">
        <w:t xml:space="preserve"> descriptions are from </w:t>
      </w:r>
      <w:r>
        <w:t xml:space="preserve">the </w:t>
      </w:r>
      <w:r w:rsidRPr="00507DC0">
        <w:t>current manuals and those included herein are not intended to be all-inclusive and are included for informational purposes only.</w:t>
      </w:r>
      <w:r w:rsidR="00AE66B1">
        <w:t xml:space="preserve"> </w:t>
      </w:r>
      <w:r w:rsidR="00AE66B1" w:rsidRPr="005E117C">
        <w:t>Codes</w:t>
      </w:r>
      <w:r w:rsidR="00AE66B1">
        <w:t xml:space="preserve"> referenced in this c</w:t>
      </w:r>
      <w:r w:rsidR="00AE66B1" w:rsidRPr="005E117C">
        <w:t xml:space="preserve">linical </w:t>
      </w:r>
      <w:r w:rsidR="00AE66B1">
        <w:t>p</w:t>
      </w:r>
      <w:r w:rsidR="00AE66B1"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r w:rsidRPr="00507DC0">
        <w:t xml:space="preserve"> </w:t>
      </w:r>
      <w:r w:rsidRPr="00E7516C">
        <w:t xml:space="preserve"> </w:t>
      </w:r>
    </w:p>
    <w:p w14:paraId="687255AD" w14:textId="77777777" w:rsidR="000D09A7" w:rsidRPr="00A85489" w:rsidRDefault="000D09A7" w:rsidP="00AF54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16"/>
        <w:gridCol w:w="7834"/>
      </w:tblGrid>
      <w:tr w:rsidR="000D09A7" w:rsidRPr="00B777AF" w14:paraId="687255B0" w14:textId="77777777" w:rsidTr="00293628">
        <w:trPr>
          <w:tblHeader/>
        </w:trPr>
        <w:tc>
          <w:tcPr>
            <w:tcW w:w="1516" w:type="dxa"/>
            <w:shd w:val="clear" w:color="auto" w:fill="00548C"/>
          </w:tcPr>
          <w:p w14:paraId="687255AE" w14:textId="77777777" w:rsidR="000D09A7" w:rsidRPr="00156A86" w:rsidRDefault="000D09A7" w:rsidP="00C10DF0">
            <w:pPr>
              <w:rPr>
                <w:b/>
                <w:bCs/>
                <w:color w:val="FFFFFF"/>
              </w:rPr>
            </w:pPr>
            <w:r w:rsidRPr="00156A86">
              <w:rPr>
                <w:b/>
                <w:color w:val="FFFFFF"/>
              </w:rPr>
              <w:t>CPT</w:t>
            </w:r>
            <w:r w:rsidRPr="00156A86">
              <w:rPr>
                <w:b/>
                <w:color w:val="FFFFFF"/>
                <w:vertAlign w:val="superscript"/>
              </w:rPr>
              <w:t>®</w:t>
            </w:r>
            <w:r w:rsidRPr="00156A86">
              <w:rPr>
                <w:b/>
                <w:color w:val="FFFFFF"/>
              </w:rPr>
              <w:t xml:space="preserve"> Codes </w:t>
            </w:r>
          </w:p>
        </w:tc>
        <w:tc>
          <w:tcPr>
            <w:tcW w:w="7834" w:type="dxa"/>
            <w:shd w:val="clear" w:color="auto" w:fill="00548C"/>
          </w:tcPr>
          <w:p w14:paraId="687255AF" w14:textId="77777777" w:rsidR="000D09A7" w:rsidRPr="00156A86" w:rsidRDefault="000D09A7" w:rsidP="00C10DF0">
            <w:pPr>
              <w:rPr>
                <w:b/>
                <w:bCs/>
                <w:color w:val="FFFFFF"/>
              </w:rPr>
            </w:pPr>
            <w:r w:rsidRPr="00156A86">
              <w:rPr>
                <w:b/>
                <w:color w:val="FFFFFF"/>
              </w:rPr>
              <w:t>Description</w:t>
            </w:r>
          </w:p>
        </w:tc>
      </w:tr>
      <w:tr w:rsidR="000D09A7" w:rsidRPr="005144C0" w14:paraId="687255B4" w14:textId="77777777" w:rsidTr="00293628">
        <w:tc>
          <w:tcPr>
            <w:tcW w:w="1516" w:type="dxa"/>
          </w:tcPr>
          <w:p w14:paraId="687255B1" w14:textId="77777777" w:rsidR="000D09A7" w:rsidRPr="00156A86" w:rsidRDefault="000D09A7" w:rsidP="00C10DF0">
            <w:pPr>
              <w:rPr>
                <w:bCs/>
              </w:rPr>
            </w:pPr>
            <w:r>
              <w:rPr>
                <w:bCs/>
              </w:rPr>
              <w:t>67570</w:t>
            </w:r>
          </w:p>
        </w:tc>
        <w:tc>
          <w:tcPr>
            <w:tcW w:w="7834" w:type="dxa"/>
          </w:tcPr>
          <w:p w14:paraId="687255B3" w14:textId="336DFDC4" w:rsidR="000D09A7" w:rsidRPr="00053CB9" w:rsidRDefault="000D09A7" w:rsidP="009969D6">
            <w:pPr>
              <w:rPr>
                <w:bCs/>
              </w:rPr>
            </w:pPr>
            <w:r w:rsidRPr="00053CB9">
              <w:rPr>
                <w:bCs/>
              </w:rPr>
              <w:t xml:space="preserve">Decompression </w:t>
            </w:r>
            <w:r w:rsidR="007848F2">
              <w:rPr>
                <w:bCs/>
              </w:rPr>
              <w:t>ON</w:t>
            </w:r>
            <w:r w:rsidRPr="00053CB9">
              <w:rPr>
                <w:bCs/>
              </w:rPr>
              <w:t xml:space="preserve"> (e.g., incision or fenestration of optic</w:t>
            </w:r>
            <w:r w:rsidR="009969D6">
              <w:rPr>
                <w:bCs/>
              </w:rPr>
              <w:t xml:space="preserve"> nerve sheath</w:t>
            </w:r>
          </w:p>
        </w:tc>
      </w:tr>
    </w:tbl>
    <w:p w14:paraId="687255B5" w14:textId="77777777" w:rsidR="000D09A7" w:rsidRDefault="000D09A7" w:rsidP="00AF5490"/>
    <w:p w14:paraId="687255B6" w14:textId="77777777" w:rsidR="000D09A7" w:rsidRDefault="000D09A7" w:rsidP="00AF5490">
      <w:pPr>
        <w:rPr>
          <w:b/>
        </w:rPr>
      </w:pPr>
      <w:r w:rsidRPr="00350F22">
        <w:rPr>
          <w:b/>
        </w:rPr>
        <w:t>ICD-10-CM Diagnosis Codes that Support Coverage Criteria</w:t>
      </w:r>
    </w:p>
    <w:p w14:paraId="4B1AC604" w14:textId="6F45C7E0" w:rsidR="001D4680" w:rsidRPr="00350F22" w:rsidRDefault="001D4680" w:rsidP="00AF5490">
      <w:pPr>
        <w:rPr>
          <w:b/>
        </w:rPr>
      </w:pPr>
      <w:r w:rsidRPr="001D4680">
        <w:rPr>
          <w:b/>
        </w:rPr>
        <w:t>+ Indicates a code requiring an additional character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55"/>
        <w:gridCol w:w="7195"/>
      </w:tblGrid>
      <w:tr w:rsidR="000D09A7" w:rsidRPr="00B777AF" w14:paraId="687255B9" w14:textId="77777777" w:rsidTr="00203E93">
        <w:trPr>
          <w:tblHeader/>
        </w:trPr>
        <w:tc>
          <w:tcPr>
            <w:tcW w:w="2155" w:type="dxa"/>
            <w:shd w:val="clear" w:color="auto" w:fill="00548C"/>
          </w:tcPr>
          <w:p w14:paraId="687255B7" w14:textId="77777777" w:rsidR="000D09A7" w:rsidRPr="00156A86" w:rsidRDefault="000D09A7" w:rsidP="00350F22">
            <w:pPr>
              <w:rPr>
                <w:b/>
                <w:bCs/>
                <w:color w:val="FFFFFF"/>
              </w:rPr>
            </w:pPr>
            <w:r w:rsidRPr="00156A86">
              <w:rPr>
                <w:b/>
                <w:color w:val="FFFFFF"/>
              </w:rPr>
              <w:t>ICD-10-CM Code</w:t>
            </w:r>
          </w:p>
        </w:tc>
        <w:tc>
          <w:tcPr>
            <w:tcW w:w="7195" w:type="dxa"/>
            <w:shd w:val="clear" w:color="auto" w:fill="00548C"/>
          </w:tcPr>
          <w:p w14:paraId="687255B8" w14:textId="77777777" w:rsidR="000D09A7" w:rsidRPr="00156A86" w:rsidRDefault="000D09A7" w:rsidP="00F91367">
            <w:pPr>
              <w:rPr>
                <w:b/>
                <w:bCs/>
                <w:color w:val="FFFFFF"/>
              </w:rPr>
            </w:pPr>
            <w:r w:rsidRPr="00156A86">
              <w:rPr>
                <w:b/>
                <w:color w:val="FFFFFF"/>
              </w:rPr>
              <w:t>Description</w:t>
            </w:r>
          </w:p>
        </w:tc>
      </w:tr>
      <w:tr w:rsidR="000D09A7" w:rsidRPr="005144C0" w14:paraId="687255BC" w14:textId="77777777" w:rsidTr="00203E93">
        <w:tc>
          <w:tcPr>
            <w:tcW w:w="2155" w:type="dxa"/>
          </w:tcPr>
          <w:p w14:paraId="687255BA" w14:textId="77777777" w:rsidR="000D09A7" w:rsidRPr="00156A86" w:rsidRDefault="000D09A7" w:rsidP="00F91367">
            <w:pPr>
              <w:rPr>
                <w:bCs/>
              </w:rPr>
            </w:pPr>
            <w:r>
              <w:rPr>
                <w:bCs/>
              </w:rPr>
              <w:t>G93.2</w:t>
            </w:r>
          </w:p>
        </w:tc>
        <w:tc>
          <w:tcPr>
            <w:tcW w:w="7195" w:type="dxa"/>
          </w:tcPr>
          <w:p w14:paraId="687255BB" w14:textId="77777777" w:rsidR="000D09A7" w:rsidRPr="00053CB9" w:rsidRDefault="000D09A7" w:rsidP="00F91367">
            <w:pPr>
              <w:rPr>
                <w:bCs/>
              </w:rPr>
            </w:pPr>
            <w:r w:rsidRPr="00053CB9">
              <w:rPr>
                <w:bCs/>
              </w:rPr>
              <w:t>Benign intracranial hypertension</w:t>
            </w:r>
          </w:p>
        </w:tc>
      </w:tr>
      <w:tr w:rsidR="000D09A7" w:rsidRPr="005144C0" w14:paraId="687255BF" w14:textId="77777777" w:rsidTr="00203E93">
        <w:tc>
          <w:tcPr>
            <w:tcW w:w="2155" w:type="dxa"/>
          </w:tcPr>
          <w:p w14:paraId="687255BD" w14:textId="77777777" w:rsidR="0018692D" w:rsidRPr="00053CB9" w:rsidRDefault="0018692D" w:rsidP="0018692D">
            <w:pPr>
              <w:rPr>
                <w:bCs/>
              </w:rPr>
            </w:pPr>
            <w:r>
              <w:rPr>
                <w:bCs/>
              </w:rPr>
              <w:t>H47.021</w:t>
            </w:r>
          </w:p>
        </w:tc>
        <w:tc>
          <w:tcPr>
            <w:tcW w:w="7195" w:type="dxa"/>
          </w:tcPr>
          <w:p w14:paraId="687255BE" w14:textId="77777777" w:rsidR="0018692D" w:rsidRPr="00053CB9" w:rsidRDefault="0018692D" w:rsidP="0018692D">
            <w:pPr>
              <w:rPr>
                <w:bCs/>
              </w:rPr>
            </w:pPr>
            <w:r>
              <w:rPr>
                <w:bCs/>
              </w:rPr>
              <w:t xml:space="preserve">Hemorrhage in </w:t>
            </w:r>
            <w:r w:rsidR="007848F2">
              <w:rPr>
                <w:bCs/>
              </w:rPr>
              <w:t>ON</w:t>
            </w:r>
            <w:r>
              <w:rPr>
                <w:bCs/>
              </w:rPr>
              <w:t xml:space="preserve"> sheath, right eye</w:t>
            </w:r>
          </w:p>
        </w:tc>
      </w:tr>
      <w:tr w:rsidR="0018692D" w:rsidRPr="005144C0" w14:paraId="687255C2" w14:textId="77777777" w:rsidTr="00203E93">
        <w:tc>
          <w:tcPr>
            <w:tcW w:w="2155" w:type="dxa"/>
          </w:tcPr>
          <w:p w14:paraId="687255C0" w14:textId="77777777" w:rsidR="0018692D" w:rsidRPr="00053CB9" w:rsidDel="0018692D" w:rsidRDefault="0018692D" w:rsidP="0018692D">
            <w:pPr>
              <w:rPr>
                <w:bCs/>
              </w:rPr>
            </w:pPr>
            <w:r>
              <w:rPr>
                <w:bCs/>
              </w:rPr>
              <w:t>H47.022</w:t>
            </w:r>
          </w:p>
        </w:tc>
        <w:tc>
          <w:tcPr>
            <w:tcW w:w="7195" w:type="dxa"/>
          </w:tcPr>
          <w:p w14:paraId="687255C1" w14:textId="77777777" w:rsidR="0018692D" w:rsidRPr="00053CB9" w:rsidDel="0018692D" w:rsidRDefault="0018692D" w:rsidP="0018692D">
            <w:pPr>
              <w:rPr>
                <w:bCs/>
              </w:rPr>
            </w:pPr>
            <w:r>
              <w:rPr>
                <w:bCs/>
              </w:rPr>
              <w:t xml:space="preserve">Hemorrhage in </w:t>
            </w:r>
            <w:r w:rsidR="007848F2">
              <w:rPr>
                <w:bCs/>
              </w:rPr>
              <w:t>ON</w:t>
            </w:r>
            <w:r>
              <w:rPr>
                <w:bCs/>
              </w:rPr>
              <w:t xml:space="preserve"> sheath, left eye</w:t>
            </w:r>
          </w:p>
        </w:tc>
      </w:tr>
      <w:tr w:rsidR="000D09A7" w:rsidRPr="005144C0" w14:paraId="687255C5" w14:textId="77777777" w:rsidTr="00203E93">
        <w:tc>
          <w:tcPr>
            <w:tcW w:w="2155" w:type="dxa"/>
          </w:tcPr>
          <w:p w14:paraId="687255C3" w14:textId="77777777" w:rsidR="000D09A7" w:rsidRPr="00053CB9" w:rsidRDefault="000D09A7" w:rsidP="005C3931">
            <w:pPr>
              <w:rPr>
                <w:bCs/>
              </w:rPr>
            </w:pPr>
            <w:r w:rsidRPr="00053CB9">
              <w:rPr>
                <w:bCs/>
              </w:rPr>
              <w:t>H47.1</w:t>
            </w:r>
            <w:r w:rsidR="005C3931">
              <w:rPr>
                <w:bCs/>
              </w:rPr>
              <w:t>1</w:t>
            </w:r>
          </w:p>
        </w:tc>
        <w:tc>
          <w:tcPr>
            <w:tcW w:w="7195" w:type="dxa"/>
          </w:tcPr>
          <w:p w14:paraId="687255C4" w14:textId="77777777" w:rsidR="000D09A7" w:rsidRPr="00053CB9" w:rsidRDefault="000D09A7" w:rsidP="00F91367">
            <w:pPr>
              <w:rPr>
                <w:bCs/>
              </w:rPr>
            </w:pPr>
            <w:r w:rsidRPr="00053CB9">
              <w:rPr>
                <w:bCs/>
              </w:rPr>
              <w:t>Papilledema</w:t>
            </w:r>
            <w:r w:rsidR="005C3931">
              <w:rPr>
                <w:bCs/>
              </w:rPr>
              <w:t xml:space="preserve"> associated with increased intracranial pressure</w:t>
            </w:r>
          </w:p>
        </w:tc>
      </w:tr>
      <w:tr w:rsidR="00665B62" w:rsidRPr="005144C0" w14:paraId="687255C8" w14:textId="77777777" w:rsidTr="00203E93">
        <w:tc>
          <w:tcPr>
            <w:tcW w:w="2155" w:type="dxa"/>
          </w:tcPr>
          <w:p w14:paraId="687255C6" w14:textId="77777777" w:rsidR="00665B62" w:rsidRPr="00053CB9" w:rsidRDefault="00665B62" w:rsidP="00F91367">
            <w:pPr>
              <w:rPr>
                <w:bCs/>
              </w:rPr>
            </w:pPr>
            <w:r>
              <w:rPr>
                <w:bCs/>
              </w:rPr>
              <w:t>M85.08</w:t>
            </w:r>
          </w:p>
        </w:tc>
        <w:tc>
          <w:tcPr>
            <w:tcW w:w="7195" w:type="dxa"/>
          </w:tcPr>
          <w:p w14:paraId="687255C7" w14:textId="77777777" w:rsidR="00665B62" w:rsidRPr="00053CB9" w:rsidRDefault="00665B62" w:rsidP="00F91367">
            <w:pPr>
              <w:rPr>
                <w:bCs/>
              </w:rPr>
            </w:pPr>
            <w:r w:rsidRPr="00665B62">
              <w:rPr>
                <w:bCs/>
              </w:rPr>
              <w:t>Fibrous dysplasia (monostotic), other site</w:t>
            </w:r>
          </w:p>
        </w:tc>
      </w:tr>
      <w:tr w:rsidR="0018692D" w:rsidRPr="005144C0" w14:paraId="687255CB" w14:textId="77777777" w:rsidTr="00203E93">
        <w:tc>
          <w:tcPr>
            <w:tcW w:w="2155" w:type="dxa"/>
          </w:tcPr>
          <w:p w14:paraId="687255C9" w14:textId="77777777" w:rsidR="0018692D" w:rsidRDefault="0018692D" w:rsidP="00F91367">
            <w:pPr>
              <w:rPr>
                <w:bCs/>
              </w:rPr>
            </w:pPr>
            <w:r>
              <w:rPr>
                <w:bCs/>
              </w:rPr>
              <w:t>M85.09</w:t>
            </w:r>
          </w:p>
        </w:tc>
        <w:tc>
          <w:tcPr>
            <w:tcW w:w="7195" w:type="dxa"/>
          </w:tcPr>
          <w:p w14:paraId="687255CA" w14:textId="77777777" w:rsidR="0018692D" w:rsidRPr="00665B62" w:rsidRDefault="0018692D" w:rsidP="00F91367">
            <w:pPr>
              <w:rPr>
                <w:bCs/>
              </w:rPr>
            </w:pPr>
            <w:r w:rsidRPr="0018692D">
              <w:rPr>
                <w:bCs/>
              </w:rPr>
              <w:t>Fibrous dysplasia (monostotic), multiple sites</w:t>
            </w:r>
          </w:p>
        </w:tc>
      </w:tr>
      <w:tr w:rsidR="007E011A" w:rsidRPr="005144C0" w14:paraId="687255CE" w14:textId="77777777" w:rsidTr="00203E93">
        <w:tc>
          <w:tcPr>
            <w:tcW w:w="2155" w:type="dxa"/>
          </w:tcPr>
          <w:p w14:paraId="687255CC" w14:textId="77777777" w:rsidR="007E011A" w:rsidRDefault="007E011A" w:rsidP="00F91367">
            <w:pPr>
              <w:rPr>
                <w:bCs/>
              </w:rPr>
            </w:pPr>
            <w:r>
              <w:rPr>
                <w:bCs/>
              </w:rPr>
              <w:t>Q78.1</w:t>
            </w:r>
          </w:p>
        </w:tc>
        <w:tc>
          <w:tcPr>
            <w:tcW w:w="7195" w:type="dxa"/>
          </w:tcPr>
          <w:p w14:paraId="687255CD" w14:textId="77777777" w:rsidR="007E011A" w:rsidRPr="0018692D" w:rsidRDefault="007E011A" w:rsidP="00F91367">
            <w:pPr>
              <w:rPr>
                <w:bCs/>
              </w:rPr>
            </w:pPr>
            <w:r w:rsidRPr="007E011A">
              <w:rPr>
                <w:bCs/>
              </w:rPr>
              <w:t>Polyostotic fibrous dysplasia</w:t>
            </w:r>
          </w:p>
        </w:tc>
      </w:tr>
      <w:tr w:rsidR="00283E03" w:rsidRPr="005144C0" w14:paraId="687255D1" w14:textId="77777777" w:rsidTr="00203E93">
        <w:tc>
          <w:tcPr>
            <w:tcW w:w="2155" w:type="dxa"/>
          </w:tcPr>
          <w:p w14:paraId="687255CF" w14:textId="7481CE8D" w:rsidR="00283E03" w:rsidRDefault="00283E03" w:rsidP="00F91367">
            <w:pPr>
              <w:rPr>
                <w:bCs/>
              </w:rPr>
            </w:pPr>
            <w:r>
              <w:rPr>
                <w:bCs/>
              </w:rPr>
              <w:t>S04.011</w:t>
            </w:r>
            <w:r w:rsidRPr="00203E93">
              <w:rPr>
                <w:bCs/>
                <w:vertAlign w:val="superscript"/>
              </w:rPr>
              <w:t>+</w:t>
            </w:r>
            <w:r>
              <w:rPr>
                <w:bCs/>
              </w:rPr>
              <w:t>-</w:t>
            </w:r>
            <w:r w:rsidR="001D4680">
              <w:rPr>
                <w:bCs/>
              </w:rPr>
              <w:t xml:space="preserve"> </w:t>
            </w:r>
            <w:r>
              <w:rPr>
                <w:bCs/>
              </w:rPr>
              <w:t>S04.019</w:t>
            </w:r>
            <w:r w:rsidRPr="00203E93">
              <w:rPr>
                <w:bCs/>
                <w:vertAlign w:val="superscript"/>
              </w:rPr>
              <w:t>+</w:t>
            </w:r>
          </w:p>
        </w:tc>
        <w:tc>
          <w:tcPr>
            <w:tcW w:w="7195" w:type="dxa"/>
          </w:tcPr>
          <w:p w14:paraId="687255D0" w14:textId="77777777" w:rsidR="00283E03" w:rsidRPr="00665B62" w:rsidRDefault="00283E03" w:rsidP="00F91367">
            <w:pPr>
              <w:rPr>
                <w:bCs/>
              </w:rPr>
            </w:pPr>
            <w:r>
              <w:rPr>
                <w:bCs/>
              </w:rPr>
              <w:t xml:space="preserve">Injury of </w:t>
            </w:r>
            <w:r w:rsidR="007848F2">
              <w:rPr>
                <w:bCs/>
              </w:rPr>
              <w:t>ON</w:t>
            </w:r>
          </w:p>
        </w:tc>
      </w:tr>
    </w:tbl>
    <w:p w14:paraId="687255D2" w14:textId="77777777" w:rsidR="000D09A7" w:rsidRDefault="000D09A7"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0D09A7" w:rsidRPr="00B777AF" w14:paraId="687255D6" w14:textId="77777777" w:rsidTr="00156A86">
        <w:trPr>
          <w:tblHeader/>
        </w:trPr>
        <w:tc>
          <w:tcPr>
            <w:tcW w:w="7578" w:type="dxa"/>
            <w:tcBorders>
              <w:top w:val="single" w:sz="8" w:space="0" w:color="4F81BD"/>
            </w:tcBorders>
            <w:shd w:val="clear" w:color="auto" w:fill="00548C"/>
          </w:tcPr>
          <w:p w14:paraId="687255D3" w14:textId="77777777" w:rsidR="000D09A7" w:rsidRPr="00156A86" w:rsidRDefault="000D09A7" w:rsidP="00B777AF">
            <w:pPr>
              <w:rPr>
                <w:b/>
                <w:bCs/>
                <w:color w:val="FFFFFF"/>
              </w:rPr>
            </w:pPr>
            <w:bookmarkStart w:id="1" w:name="Revision_Log"/>
            <w:r w:rsidRPr="00156A86">
              <w:rPr>
                <w:b/>
                <w:color w:val="FFFFFF"/>
              </w:rPr>
              <w:t>Reviews, Revisions, and Approvals</w:t>
            </w:r>
            <w:bookmarkEnd w:id="1"/>
          </w:p>
        </w:tc>
        <w:tc>
          <w:tcPr>
            <w:tcW w:w="810" w:type="dxa"/>
            <w:shd w:val="clear" w:color="auto" w:fill="00548C"/>
          </w:tcPr>
          <w:p w14:paraId="687255D4" w14:textId="77777777" w:rsidR="000D09A7" w:rsidRPr="00156A86" w:rsidRDefault="000D09A7" w:rsidP="00156A86">
            <w:pPr>
              <w:jc w:val="center"/>
              <w:rPr>
                <w:b/>
                <w:bCs/>
                <w:color w:val="FFFFFF"/>
              </w:rPr>
            </w:pPr>
            <w:r w:rsidRPr="00156A86">
              <w:rPr>
                <w:b/>
                <w:color w:val="FFFFFF"/>
              </w:rPr>
              <w:t>Date</w:t>
            </w:r>
          </w:p>
        </w:tc>
        <w:tc>
          <w:tcPr>
            <w:tcW w:w="1260" w:type="dxa"/>
            <w:tcBorders>
              <w:top w:val="single" w:sz="8" w:space="0" w:color="4F81BD"/>
            </w:tcBorders>
            <w:shd w:val="clear" w:color="auto" w:fill="00548C"/>
          </w:tcPr>
          <w:p w14:paraId="687255D5" w14:textId="77777777" w:rsidR="000D09A7" w:rsidRPr="00156A86" w:rsidRDefault="000D09A7" w:rsidP="00156A86">
            <w:pPr>
              <w:jc w:val="center"/>
              <w:rPr>
                <w:b/>
                <w:bCs/>
                <w:color w:val="FFFFFF"/>
              </w:rPr>
            </w:pPr>
            <w:r w:rsidRPr="00156A86">
              <w:rPr>
                <w:b/>
                <w:color w:val="FFFFFF"/>
              </w:rPr>
              <w:t>Approval Date</w:t>
            </w:r>
          </w:p>
        </w:tc>
      </w:tr>
      <w:tr w:rsidR="000D09A7" w14:paraId="687255DA" w14:textId="77777777" w:rsidTr="00156A86">
        <w:tc>
          <w:tcPr>
            <w:tcW w:w="7578" w:type="dxa"/>
          </w:tcPr>
          <w:p w14:paraId="687255D7" w14:textId="77777777" w:rsidR="000D09A7" w:rsidRPr="00205A54" w:rsidRDefault="000D09A7" w:rsidP="00156A86">
            <w:pPr>
              <w:tabs>
                <w:tab w:val="num" w:pos="720"/>
              </w:tabs>
            </w:pPr>
            <w:r w:rsidRPr="00205A54">
              <w:t>Policy adopted from Health Net NMP3</w:t>
            </w:r>
            <w:r>
              <w:t xml:space="preserve">53 </w:t>
            </w:r>
            <w:r w:rsidR="007848F2">
              <w:t>ON</w:t>
            </w:r>
            <w:r w:rsidRPr="00205A54">
              <w:t xml:space="preserve"> Decompression Surgery</w:t>
            </w:r>
          </w:p>
        </w:tc>
        <w:tc>
          <w:tcPr>
            <w:tcW w:w="810" w:type="dxa"/>
          </w:tcPr>
          <w:p w14:paraId="687255D8" w14:textId="77777777" w:rsidR="000D09A7" w:rsidRDefault="000D09A7" w:rsidP="00156A86">
            <w:pPr>
              <w:jc w:val="center"/>
            </w:pPr>
            <w:r>
              <w:t>08/16</w:t>
            </w:r>
          </w:p>
        </w:tc>
        <w:tc>
          <w:tcPr>
            <w:tcW w:w="1260" w:type="dxa"/>
          </w:tcPr>
          <w:p w14:paraId="687255D9" w14:textId="77777777" w:rsidR="000D09A7" w:rsidRDefault="00486E18" w:rsidP="00156A86">
            <w:pPr>
              <w:jc w:val="center"/>
            </w:pPr>
            <w:r>
              <w:t>09/16</w:t>
            </w:r>
          </w:p>
        </w:tc>
      </w:tr>
      <w:tr w:rsidR="00DC6341" w14:paraId="687255DE" w14:textId="77777777" w:rsidTr="00156A86">
        <w:tc>
          <w:tcPr>
            <w:tcW w:w="7578" w:type="dxa"/>
          </w:tcPr>
          <w:p w14:paraId="687255DB" w14:textId="77777777" w:rsidR="00DC6341" w:rsidRPr="00205A54" w:rsidRDefault="007D6EBE" w:rsidP="00156A86">
            <w:pPr>
              <w:tabs>
                <w:tab w:val="num" w:pos="720"/>
              </w:tabs>
            </w:pPr>
            <w:r>
              <w:t>Reclassified TON as medically necessary with certain criteria; added facial fibrous dysplasia as a medically necessary indication, and updated related background information</w:t>
            </w:r>
            <w:r w:rsidR="007E011A">
              <w:t xml:space="preserve"> and codes.</w:t>
            </w:r>
          </w:p>
        </w:tc>
        <w:tc>
          <w:tcPr>
            <w:tcW w:w="810" w:type="dxa"/>
          </w:tcPr>
          <w:p w14:paraId="687255DC" w14:textId="77777777" w:rsidR="00DC6341" w:rsidRDefault="00DC6341" w:rsidP="00156A86">
            <w:pPr>
              <w:jc w:val="center"/>
            </w:pPr>
            <w:r>
              <w:t>09/17</w:t>
            </w:r>
          </w:p>
        </w:tc>
        <w:tc>
          <w:tcPr>
            <w:tcW w:w="1260" w:type="dxa"/>
          </w:tcPr>
          <w:p w14:paraId="687255DD" w14:textId="77777777" w:rsidR="00DC6341" w:rsidRDefault="00C36AF8" w:rsidP="00156A86">
            <w:pPr>
              <w:jc w:val="center"/>
            </w:pPr>
            <w:r>
              <w:t>09/17</w:t>
            </w:r>
          </w:p>
        </w:tc>
      </w:tr>
      <w:tr w:rsidR="004F2DB3" w14:paraId="5AD67D4C" w14:textId="77777777" w:rsidTr="00156A86">
        <w:tc>
          <w:tcPr>
            <w:tcW w:w="7578" w:type="dxa"/>
          </w:tcPr>
          <w:p w14:paraId="72F3C9DD" w14:textId="4F00D24A" w:rsidR="004F2DB3" w:rsidRDefault="00B460BA" w:rsidP="00156A86">
            <w:pPr>
              <w:tabs>
                <w:tab w:val="num" w:pos="720"/>
              </w:tabs>
            </w:pPr>
            <w:r>
              <w:t>References reviewed and updated</w:t>
            </w:r>
            <w:r w:rsidR="00E05590">
              <w:t>.</w:t>
            </w:r>
          </w:p>
        </w:tc>
        <w:tc>
          <w:tcPr>
            <w:tcW w:w="810" w:type="dxa"/>
          </w:tcPr>
          <w:p w14:paraId="0D940FEF" w14:textId="7191A3E6" w:rsidR="004F2DB3" w:rsidRDefault="004F2DB3" w:rsidP="00156A86">
            <w:pPr>
              <w:jc w:val="center"/>
            </w:pPr>
            <w:r>
              <w:t>08/18</w:t>
            </w:r>
          </w:p>
        </w:tc>
        <w:tc>
          <w:tcPr>
            <w:tcW w:w="1260" w:type="dxa"/>
          </w:tcPr>
          <w:p w14:paraId="043405FD" w14:textId="467FEE99" w:rsidR="004F2DB3" w:rsidRDefault="006B6ED4" w:rsidP="00156A86">
            <w:pPr>
              <w:jc w:val="center"/>
            </w:pPr>
            <w:r>
              <w:t>08/18</w:t>
            </w:r>
          </w:p>
        </w:tc>
      </w:tr>
      <w:tr w:rsidR="002A3973" w14:paraId="7439DF6E" w14:textId="77777777" w:rsidTr="00156A86">
        <w:tc>
          <w:tcPr>
            <w:tcW w:w="7578" w:type="dxa"/>
          </w:tcPr>
          <w:p w14:paraId="42EF207E" w14:textId="1ECB25C9" w:rsidR="002A3973" w:rsidRDefault="00350EDE" w:rsidP="00293628">
            <w:pPr>
              <w:tabs>
                <w:tab w:val="num" w:pos="720"/>
              </w:tabs>
            </w:pPr>
            <w:r>
              <w:t>References reviewed and updated.</w:t>
            </w:r>
            <w:r w:rsidR="007C411C">
              <w:t xml:space="preserve"> </w:t>
            </w:r>
            <w:r w:rsidR="008408CD">
              <w:t>Specialist review.</w:t>
            </w:r>
          </w:p>
        </w:tc>
        <w:tc>
          <w:tcPr>
            <w:tcW w:w="810" w:type="dxa"/>
          </w:tcPr>
          <w:p w14:paraId="6ABE6C8B" w14:textId="516E6324" w:rsidR="002A3973" w:rsidRDefault="00350EDE" w:rsidP="00156A86">
            <w:pPr>
              <w:jc w:val="center"/>
            </w:pPr>
            <w:r>
              <w:t>07/19</w:t>
            </w:r>
          </w:p>
        </w:tc>
        <w:tc>
          <w:tcPr>
            <w:tcW w:w="1260" w:type="dxa"/>
          </w:tcPr>
          <w:p w14:paraId="26570A7B" w14:textId="72755A92" w:rsidR="002A3973" w:rsidRDefault="008408CD" w:rsidP="00156A86">
            <w:pPr>
              <w:jc w:val="center"/>
            </w:pPr>
            <w:r>
              <w:t>08/19</w:t>
            </w:r>
            <w:bookmarkStart w:id="2" w:name="_GoBack"/>
            <w:bookmarkEnd w:id="2"/>
          </w:p>
        </w:tc>
      </w:tr>
    </w:tbl>
    <w:p w14:paraId="1E6CBC24" w14:textId="77777777" w:rsidR="00D97673" w:rsidRDefault="00D97673" w:rsidP="00963062">
      <w:pPr>
        <w:pStyle w:val="Heading3"/>
        <w:sectPr w:rsidR="00D97673" w:rsidSect="00480C09">
          <w:type w:val="continuous"/>
          <w:pgSz w:w="12240" w:h="15840" w:code="1"/>
          <w:pgMar w:top="1440" w:right="1440" w:bottom="1440" w:left="1440" w:header="576" w:footer="288" w:gutter="0"/>
          <w:cols w:space="720"/>
          <w:titlePg/>
          <w:docGrid w:linePitch="360"/>
        </w:sectPr>
      </w:pPr>
    </w:p>
    <w:p w14:paraId="687255E0" w14:textId="1E863A06" w:rsidR="000D09A7" w:rsidRPr="00B777AF" w:rsidRDefault="000D09A7" w:rsidP="00963062">
      <w:pPr>
        <w:pStyle w:val="Heading3"/>
      </w:pPr>
      <w:r>
        <w:t>References</w:t>
      </w:r>
    </w:p>
    <w:p w14:paraId="687255E1" w14:textId="77777777" w:rsidR="00A01627" w:rsidRDefault="00A01627" w:rsidP="00A01627">
      <w:pPr>
        <w:numPr>
          <w:ilvl w:val="0"/>
          <w:numId w:val="31"/>
        </w:numPr>
      </w:pPr>
      <w:r>
        <w:t xml:space="preserve">Kumaran AM, Sundar G, Chye LT. Traumatic Optic Neuropathy: A Review. </w:t>
      </w:r>
      <w:r w:rsidRPr="00A01627">
        <w:t>Craniomaxillofac Trauma Reconstr. 2015 Mar; 8(1): 31–41.</w:t>
      </w:r>
      <w:r>
        <w:t xml:space="preserve"> </w:t>
      </w:r>
      <w:r>
        <w:rPr>
          <w:rStyle w:val="doi1"/>
          <w:lang w:val="en"/>
        </w:rPr>
        <w:t xml:space="preserve">doi:  </w:t>
      </w:r>
      <w:r w:rsidRPr="00203E93">
        <w:rPr>
          <w:rStyle w:val="doi1"/>
        </w:rPr>
        <w:t>10.1055/s-0034-1393734</w:t>
      </w:r>
    </w:p>
    <w:p w14:paraId="687255E3" w14:textId="2A88495A" w:rsidR="00D77CB4" w:rsidRDefault="00D77CB4">
      <w:pPr>
        <w:numPr>
          <w:ilvl w:val="0"/>
          <w:numId w:val="31"/>
        </w:numPr>
      </w:pPr>
      <w:r>
        <w:t>Belsuzarri TA, Araujo JF, Melro CA, et al. McCune-Albright syndrome with craniofacial dysplasia: clinical review and surgical management. Surg Neurol Int. 2016 Mar 11;7</w:t>
      </w:r>
      <w:r w:rsidR="00C36AF8">
        <w:t xml:space="preserve"> </w:t>
      </w:r>
      <w:r>
        <w:t>(Suppl 6):</w:t>
      </w:r>
      <w:r w:rsidR="00C36AF8">
        <w:t xml:space="preserve"> </w:t>
      </w:r>
      <w:r>
        <w:t>S165-9. doi: 10.4103/2152-7806.178567. eCollection 2016.</w:t>
      </w:r>
    </w:p>
    <w:p w14:paraId="687255E4" w14:textId="77777777" w:rsidR="000D09A7" w:rsidRDefault="000D09A7" w:rsidP="00816209">
      <w:pPr>
        <w:numPr>
          <w:ilvl w:val="0"/>
          <w:numId w:val="31"/>
        </w:numPr>
      </w:pPr>
      <w:r>
        <w:t xml:space="preserve">Cohen AJ.  </w:t>
      </w:r>
      <w:r w:rsidR="007848F2">
        <w:t>ON</w:t>
      </w:r>
      <w:r w:rsidRPr="00A95419">
        <w:t xml:space="preserve"> Sheath Fenestration</w:t>
      </w:r>
      <w:r>
        <w:t>.  Medscape. July 2016</w:t>
      </w:r>
    </w:p>
    <w:p w14:paraId="687255E5" w14:textId="77777777" w:rsidR="000D09A7" w:rsidRDefault="000D09A7" w:rsidP="00816209">
      <w:pPr>
        <w:numPr>
          <w:ilvl w:val="0"/>
          <w:numId w:val="31"/>
        </w:numPr>
      </w:pPr>
      <w:r w:rsidRPr="00F97D09">
        <w:t>Dickersin K, Li T. Surgery to improve vision in people with nonarteritic anterior ischemic optic neuropathy (NAION). Cochrane Review. 12 March, 2015.</w:t>
      </w:r>
    </w:p>
    <w:p w14:paraId="687255E6" w14:textId="701E9BD6" w:rsidR="00CB4600" w:rsidRDefault="00CB4600" w:rsidP="00CB4600">
      <w:pPr>
        <w:numPr>
          <w:ilvl w:val="0"/>
          <w:numId w:val="31"/>
        </w:numPr>
      </w:pPr>
      <w:r w:rsidRPr="00CB4600">
        <w:t xml:space="preserve">Levin LA, Beck RW, Joseph MP, </w:t>
      </w:r>
      <w:r w:rsidR="004420B0">
        <w:t xml:space="preserve">et al.  </w:t>
      </w:r>
      <w:r w:rsidRPr="00CB4600">
        <w:t>. The treatment of traumatic optic neuropathy: the International Optic Nerve Trauma Study. Ophthalmology. 1999;106(7):1268–1277.</w:t>
      </w:r>
    </w:p>
    <w:p w14:paraId="687255E7" w14:textId="77777777" w:rsidR="000D09A7" w:rsidRDefault="000D09A7" w:rsidP="00DC6341">
      <w:pPr>
        <w:numPr>
          <w:ilvl w:val="0"/>
          <w:numId w:val="31"/>
        </w:numPr>
        <w:tabs>
          <w:tab w:val="clear" w:pos="432"/>
          <w:tab w:val="num" w:pos="0"/>
        </w:tabs>
      </w:pPr>
      <w:r w:rsidRPr="00F97D09">
        <w:t xml:space="preserve">Li H, Zhou B, Shi J, et al. Treatment of traumatic optic neuropathy: Our experience of endoscopic </w:t>
      </w:r>
      <w:r w:rsidR="007848F2">
        <w:t>ON</w:t>
      </w:r>
      <w:r w:rsidRPr="00F97D09">
        <w:t xml:space="preserve"> decompression. J Laryngol Otol. 2008;122(12):1325-1329.</w:t>
      </w:r>
    </w:p>
    <w:p w14:paraId="687255E8" w14:textId="77777777" w:rsidR="00A038DD" w:rsidRDefault="00A038DD" w:rsidP="00B0429D">
      <w:pPr>
        <w:numPr>
          <w:ilvl w:val="0"/>
          <w:numId w:val="31"/>
        </w:numPr>
      </w:pPr>
      <w:r>
        <w:t>Lu Y, Yang J, Wu Y, et al. “Well Digging” subcraniotomy strategy with navigation for optic nerve</w:t>
      </w:r>
      <w:r w:rsidR="00B0429D">
        <w:t xml:space="preserve"> decompression in frontoorbital fibrous dysplasia: preliminary experience. </w:t>
      </w:r>
      <w:r w:rsidR="00B0429D" w:rsidRPr="00B0429D">
        <w:t>Plast Reconstr Surg Glob Open. 2016 Nov 8;4(11):e1080. eCollection 2016 Nov</w:t>
      </w:r>
      <w:r w:rsidR="00D77CB4">
        <w:t>.</w:t>
      </w:r>
    </w:p>
    <w:p w14:paraId="687255E9" w14:textId="77777777" w:rsidR="000D09A7" w:rsidRPr="00816209" w:rsidRDefault="000D09A7" w:rsidP="00816209">
      <w:pPr>
        <w:numPr>
          <w:ilvl w:val="0"/>
          <w:numId w:val="31"/>
        </w:numPr>
      </w:pPr>
      <w:r w:rsidRPr="00816209">
        <w:t xml:space="preserve">No authors listed. </w:t>
      </w:r>
      <w:r w:rsidR="007848F2">
        <w:t>ON</w:t>
      </w:r>
      <w:r w:rsidRPr="00816209">
        <w:t xml:space="preserve"> decompression surgery for nonarteritic anterior ischemic optic neuropathy (NAION) is not effective and may be harmful. The Ischemic Optic Neuropathy Decompression Trial Research Group. JAMA. 1995;273(8):625-632.</w:t>
      </w:r>
    </w:p>
    <w:p w14:paraId="687255EA" w14:textId="77777777" w:rsidR="000D09A7" w:rsidRDefault="000D09A7" w:rsidP="00816209">
      <w:pPr>
        <w:numPr>
          <w:ilvl w:val="0"/>
          <w:numId w:val="31"/>
        </w:numPr>
      </w:pPr>
      <w:r>
        <w:t xml:space="preserve">Ropposch T, Steger B, Meço C, et al. The effect of steroids in combination with </w:t>
      </w:r>
      <w:r w:rsidR="007848F2">
        <w:t>ON</w:t>
      </w:r>
      <w:r>
        <w:t xml:space="preserve"> decompression surgery in traumatic optic neuropathy. Laryngoscope. 2013;123(5):1082-1086.</w:t>
      </w:r>
    </w:p>
    <w:p w14:paraId="687255EB" w14:textId="77777777" w:rsidR="000D09A7" w:rsidRDefault="000D09A7" w:rsidP="00816209">
      <w:pPr>
        <w:numPr>
          <w:ilvl w:val="0"/>
          <w:numId w:val="31"/>
        </w:numPr>
      </w:pPr>
      <w:r>
        <w:t>Sosin M, De La Cruz C, Mundinger GS, et al.  Treatment Outcomes following Traumatic Optic Neuropathy.  Plast Reconstr Surg. 2016 Jan;137(1):231-8</w:t>
      </w:r>
    </w:p>
    <w:p w14:paraId="687255EC" w14:textId="77777777" w:rsidR="007D6EBE" w:rsidRDefault="000D09A7">
      <w:pPr>
        <w:numPr>
          <w:ilvl w:val="0"/>
          <w:numId w:val="31"/>
        </w:numPr>
      </w:pPr>
      <w:r w:rsidRPr="0063460E">
        <w:t xml:space="preserve">Spoor, TC, Ramocki, JM, Madion, MP, et al. Treatment of pseudotumor cerebri by primary and secondary </w:t>
      </w:r>
      <w:r w:rsidR="007848F2">
        <w:t>ON</w:t>
      </w:r>
      <w:r w:rsidRPr="0063460E">
        <w:t xml:space="preserve"> sheath decompression. Am J Ophthalmol 1991; 112:177.</w:t>
      </w:r>
    </w:p>
    <w:p w14:paraId="687255ED" w14:textId="77777777" w:rsidR="000D09A7" w:rsidRPr="00F97D09" w:rsidRDefault="000D09A7" w:rsidP="00816209">
      <w:pPr>
        <w:numPr>
          <w:ilvl w:val="0"/>
          <w:numId w:val="31"/>
        </w:numPr>
      </w:pPr>
      <w:r w:rsidRPr="00F97D09">
        <w:t xml:space="preserve">Welkoborsky HJ, Möbius H, Bauer L, Wiechens B.  Traumatic </w:t>
      </w:r>
      <w:r w:rsidR="007848F2">
        <w:t>ON</w:t>
      </w:r>
      <w:r w:rsidRPr="00F97D09">
        <w:t xml:space="preserve"> neuropathy. Long</w:t>
      </w:r>
      <w:r>
        <w:t xml:space="preserve"> </w:t>
      </w:r>
      <w:r w:rsidRPr="00F97D09">
        <w:t xml:space="preserve">term results following microsurgical </w:t>
      </w:r>
      <w:r w:rsidR="007848F2">
        <w:t>ON</w:t>
      </w:r>
      <w:r w:rsidRPr="00F97D09">
        <w:t xml:space="preserve"> decompression.  HNO. 2011 Oct; 59(10):997-1004.</w:t>
      </w:r>
    </w:p>
    <w:p w14:paraId="687255EE" w14:textId="77777777" w:rsidR="000D09A7" w:rsidRPr="00F97D09" w:rsidRDefault="000D09A7" w:rsidP="00816209">
      <w:pPr>
        <w:numPr>
          <w:ilvl w:val="0"/>
          <w:numId w:val="31"/>
        </w:numPr>
      </w:pPr>
      <w:r w:rsidRPr="00F97D09">
        <w:t xml:space="preserve">Yang QT, Zhang GH, Liu X, Ye J, Li Y.  The therapeutic efficacy of endoscopic </w:t>
      </w:r>
      <w:r w:rsidR="007848F2">
        <w:t>ON</w:t>
      </w:r>
      <w:r w:rsidRPr="00F97D09">
        <w:t xml:space="preserve"> decompression and its effects on the prognoses of 96 cases of traumatic optic neuropathy.  J Trauma Acute Care Surg. 2012 May; 72(5):1350-5.</w:t>
      </w:r>
    </w:p>
    <w:p w14:paraId="687255EF" w14:textId="77777777" w:rsidR="00C7654A" w:rsidRDefault="000D09A7">
      <w:pPr>
        <w:numPr>
          <w:ilvl w:val="0"/>
          <w:numId w:val="31"/>
        </w:numPr>
      </w:pPr>
      <w:r w:rsidRPr="00F97D09">
        <w:t xml:space="preserve">Yu-Wai-Man P, Griffiths PG. Surgery for the treatment of traumatic optic neuropathy Updated. Cochrane Summaries. June 18, 2013. </w:t>
      </w:r>
    </w:p>
    <w:p w14:paraId="687255F0" w14:textId="77777777" w:rsidR="007D6EBE" w:rsidRDefault="007D6EBE">
      <w:pPr>
        <w:numPr>
          <w:ilvl w:val="0"/>
          <w:numId w:val="31"/>
        </w:numPr>
      </w:pPr>
      <w:r>
        <w:t xml:space="preserve">Zhang Q, Lu H, Li G, et al.  Long-term efficacy of nasal endoscopic </w:t>
      </w:r>
      <w:r w:rsidR="007848F2">
        <w:t>ON</w:t>
      </w:r>
      <w:r>
        <w:t xml:space="preserve"> decompression for traumatic optic neuropathy.  Lin Chung Er Bi Yan Hou Tou Jing Wai Ke Za Zhi. 2015 Jun;29(12):1082-5</w:t>
      </w:r>
    </w:p>
    <w:p w14:paraId="687255F1" w14:textId="77777777" w:rsidR="000D09A7" w:rsidRDefault="000D09A7" w:rsidP="00816209">
      <w:pPr>
        <w:numPr>
          <w:ilvl w:val="0"/>
          <w:numId w:val="31"/>
        </w:numPr>
      </w:pPr>
      <w:r w:rsidRPr="00F97D09">
        <w:t xml:space="preserve">Zhilin G, Huoniu O, Zhihua C, Guorong D.  Wide </w:t>
      </w:r>
      <w:r w:rsidR="007848F2">
        <w:t>ON</w:t>
      </w:r>
      <w:r w:rsidRPr="00F97D09">
        <w:t xml:space="preserve"> canal decompression for the treatment of blindness resulting from an indirect </w:t>
      </w:r>
      <w:r w:rsidR="007848F2">
        <w:t>ON</w:t>
      </w:r>
      <w:r w:rsidRPr="00F97D09">
        <w:t xml:space="preserve"> injury.  J Craniofac Surg. 2011 Jul;22(4):1463-5.</w:t>
      </w:r>
    </w:p>
    <w:p w14:paraId="2DC1DA34" w14:textId="608D4184" w:rsidR="00704E9B" w:rsidRDefault="00704E9B" w:rsidP="00704E9B">
      <w:pPr>
        <w:numPr>
          <w:ilvl w:val="0"/>
          <w:numId w:val="31"/>
        </w:numPr>
      </w:pPr>
      <w:r>
        <w:t xml:space="preserve">Lee AG, Wall M.  </w:t>
      </w:r>
      <w:r w:rsidRPr="00704E9B">
        <w:t>Idiopathic intracranial hypertension (pseudotumor cerebri): Prognosis and treatment</w:t>
      </w:r>
      <w:r w:rsidR="00317955">
        <w:t xml:space="preserve">.  In:UpToDate, Brazis P (Ed).  </w:t>
      </w:r>
      <w:r w:rsidR="005D1649">
        <w:t xml:space="preserve">Accessed </w:t>
      </w:r>
      <w:r w:rsidR="002E74A7">
        <w:t xml:space="preserve">July 3, </w:t>
      </w:r>
      <w:r w:rsidR="005D1649">
        <w:t xml:space="preserve"> 2018</w:t>
      </w:r>
    </w:p>
    <w:p w14:paraId="0EC39BA6" w14:textId="26175C64" w:rsidR="007E54C1" w:rsidRDefault="00B70E1E" w:rsidP="00B70E1E">
      <w:pPr>
        <w:numPr>
          <w:ilvl w:val="0"/>
          <w:numId w:val="31"/>
        </w:numPr>
      </w:pPr>
      <w:r>
        <w:t xml:space="preserve">Tamhankar M, Volpe NJ.  </w:t>
      </w:r>
      <w:r w:rsidRPr="00B70E1E">
        <w:t>Nonarteritic ischemic optic neuropathy: Prognosis and treatment</w:t>
      </w:r>
      <w:r>
        <w:t xml:space="preserve">.  In:UpToDate.  </w:t>
      </w:r>
      <w:r w:rsidRPr="00B70E1E">
        <w:t xml:space="preserve">Brazis P (Ed).  </w:t>
      </w:r>
      <w:r w:rsidR="005D1649">
        <w:t>A</w:t>
      </w:r>
      <w:r w:rsidR="007E54C1">
        <w:t>c</w:t>
      </w:r>
      <w:r w:rsidR="005D1649">
        <w:t xml:space="preserve">cessed </w:t>
      </w:r>
      <w:r w:rsidR="007E54C1">
        <w:t>July 3, 2019</w:t>
      </w:r>
    </w:p>
    <w:p w14:paraId="5A2691A8" w14:textId="3F2AD97A" w:rsidR="00B70E1E" w:rsidRPr="00F97D09" w:rsidRDefault="007E54C1" w:rsidP="00293628">
      <w:pPr>
        <w:numPr>
          <w:ilvl w:val="0"/>
          <w:numId w:val="31"/>
        </w:numPr>
        <w:tabs>
          <w:tab w:val="clear" w:pos="432"/>
        </w:tabs>
        <w:ind w:left="360" w:hanging="360"/>
      </w:pPr>
      <w:r w:rsidRPr="007E54C1">
        <w:t>Tamhankar M, Volpe NJ</w:t>
      </w:r>
      <w:r>
        <w:t xml:space="preserve">.  </w:t>
      </w:r>
      <w:r w:rsidRPr="007E54C1">
        <w:t>Nonarteritic anterior ischemic optic neuropathy: Clinical features and diagnosis</w:t>
      </w:r>
      <w:r>
        <w:t xml:space="preserve">.  </w:t>
      </w:r>
      <w:r w:rsidRPr="007E54C1">
        <w:t>In: UpToDate</w:t>
      </w:r>
      <w:r>
        <w:t xml:space="preserve">.  </w:t>
      </w:r>
      <w:r w:rsidRPr="007E54C1">
        <w:t>Brazis P (Ed).  UpToDate, Waltham, MA</w:t>
      </w:r>
      <w:r>
        <w:t>.  Accessed July 3, 2019</w:t>
      </w:r>
      <w:r>
        <w:br/>
      </w:r>
    </w:p>
    <w:p w14:paraId="687255F3" w14:textId="77777777" w:rsidR="000D09A7" w:rsidRPr="00146C6E" w:rsidRDefault="000D09A7" w:rsidP="00146C6E">
      <w:pPr>
        <w:rPr>
          <w:b/>
          <w:u w:val="single"/>
        </w:rPr>
      </w:pPr>
      <w:bookmarkStart w:id="3" w:name="Important_Reminder"/>
      <w:r w:rsidRPr="00146C6E">
        <w:rPr>
          <w:b/>
          <w:bCs/>
          <w:u w:val="single"/>
        </w:rPr>
        <w:t>Important Reminder</w:t>
      </w:r>
      <w:bookmarkEnd w:id="3"/>
    </w:p>
    <w:p w14:paraId="687255F4" w14:textId="77777777" w:rsidR="000D09A7" w:rsidRPr="00146C6E" w:rsidRDefault="000D09A7"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687255F5" w14:textId="77777777" w:rsidR="000D09A7" w:rsidRPr="00146C6E" w:rsidRDefault="000D09A7" w:rsidP="00146C6E"/>
    <w:p w14:paraId="687255F6" w14:textId="77777777" w:rsidR="000D09A7" w:rsidRPr="00146C6E" w:rsidRDefault="000D09A7"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87255F7" w14:textId="77777777" w:rsidR="000D09A7" w:rsidRPr="00146C6E" w:rsidRDefault="000D09A7" w:rsidP="00146C6E"/>
    <w:p w14:paraId="687255F8" w14:textId="77777777" w:rsidR="000D09A7" w:rsidRPr="00146C6E" w:rsidRDefault="000D09A7"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87255F9" w14:textId="77777777" w:rsidR="000D09A7" w:rsidRPr="00146C6E" w:rsidRDefault="000D09A7" w:rsidP="00146C6E"/>
    <w:p w14:paraId="687255FA" w14:textId="77777777" w:rsidR="000D09A7" w:rsidRPr="00146C6E" w:rsidRDefault="000D09A7"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87255FB" w14:textId="77777777" w:rsidR="000D09A7" w:rsidRPr="00146C6E" w:rsidRDefault="000D09A7" w:rsidP="00146C6E"/>
    <w:p w14:paraId="687255FC" w14:textId="77777777" w:rsidR="000D09A7" w:rsidRPr="00146C6E" w:rsidRDefault="000D09A7"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687255FD" w14:textId="77777777" w:rsidR="000D09A7" w:rsidRPr="00146C6E" w:rsidRDefault="000D09A7" w:rsidP="00146C6E"/>
    <w:p w14:paraId="687255FE" w14:textId="77777777" w:rsidR="000D09A7" w:rsidRPr="00146C6E" w:rsidRDefault="000D09A7"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87255FF" w14:textId="77777777" w:rsidR="000D09A7" w:rsidRPr="00146C6E" w:rsidRDefault="000D09A7" w:rsidP="00146C6E">
      <w:pPr>
        <w:autoSpaceDE w:val="0"/>
        <w:autoSpaceDN w:val="0"/>
        <w:adjustRightInd w:val="0"/>
        <w:rPr>
          <w:color w:val="000000"/>
        </w:rPr>
      </w:pPr>
    </w:p>
    <w:p w14:paraId="68725600" w14:textId="77777777" w:rsidR="000D09A7" w:rsidRPr="00146C6E" w:rsidRDefault="000D09A7"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68725601" w14:textId="77777777" w:rsidR="000D09A7" w:rsidRPr="00146C6E" w:rsidRDefault="000D09A7" w:rsidP="00146C6E"/>
    <w:p w14:paraId="68725602" w14:textId="77777777" w:rsidR="00486E18" w:rsidRPr="00146C6E" w:rsidRDefault="00486E18" w:rsidP="00486E18">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68725603" w14:textId="77777777" w:rsidR="000D09A7" w:rsidRPr="00146C6E" w:rsidRDefault="000D09A7" w:rsidP="00146C6E">
      <w:pPr>
        <w:rPr>
          <w:iCs/>
        </w:rPr>
      </w:pPr>
    </w:p>
    <w:p w14:paraId="68725604" w14:textId="77777777" w:rsidR="000D09A7" w:rsidRPr="008C4E35" w:rsidRDefault="000D09A7" w:rsidP="00AF5490">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0D09A7" w:rsidRPr="008C4E35"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5607" w14:textId="77777777" w:rsidR="00BA5C11" w:rsidRDefault="00BA5C11">
      <w:r>
        <w:separator/>
      </w:r>
    </w:p>
  </w:endnote>
  <w:endnote w:type="continuationSeparator" w:id="0">
    <w:p w14:paraId="68725608" w14:textId="77777777" w:rsidR="00BA5C11" w:rsidRDefault="00BA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560B" w14:textId="45FFDF44" w:rsidR="00BA5C11" w:rsidRPr="00D574CA" w:rsidRDefault="00BA5C11" w:rsidP="00D574CA">
    <w:pPr>
      <w:pStyle w:val="Footer"/>
      <w:jc w:val="center"/>
    </w:pPr>
    <w:r>
      <w:t xml:space="preserve">Page </w:t>
    </w:r>
    <w:r>
      <w:rPr>
        <w:b/>
        <w:bCs/>
      </w:rPr>
      <w:fldChar w:fldCharType="begin"/>
    </w:r>
    <w:r>
      <w:rPr>
        <w:b/>
        <w:bCs/>
      </w:rPr>
      <w:instrText xml:space="preserve"> PAGE </w:instrText>
    </w:r>
    <w:r>
      <w:rPr>
        <w:b/>
        <w:bCs/>
      </w:rPr>
      <w:fldChar w:fldCharType="separate"/>
    </w:r>
    <w:r w:rsidR="008408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408CD">
      <w:rPr>
        <w:b/>
        <w:bCs/>
        <w:noProof/>
      </w:rPr>
      <w:t>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560D" w14:textId="1AC4DA9F" w:rsidR="00BA5C11" w:rsidRDefault="00BA5C11" w:rsidP="002C6AAB">
    <w:pPr>
      <w:pStyle w:val="Footer"/>
      <w:jc w:val="center"/>
    </w:pPr>
    <w:r>
      <w:t xml:space="preserve">Page </w:t>
    </w:r>
    <w:r>
      <w:fldChar w:fldCharType="begin"/>
    </w:r>
    <w:r>
      <w:instrText xml:space="preserve"> PAGE   \* MERGEFORMAT </w:instrText>
    </w:r>
    <w:r>
      <w:fldChar w:fldCharType="separate"/>
    </w:r>
    <w:r w:rsidR="008408CD">
      <w:rPr>
        <w:noProof/>
      </w:rPr>
      <w:t>1</w:t>
    </w:r>
    <w:r>
      <w:rPr>
        <w:noProof/>
      </w:rPr>
      <w:fldChar w:fldCharType="end"/>
    </w:r>
    <w:r>
      <w:t xml:space="preserve"> of </w:t>
    </w:r>
    <w:r w:rsidR="00914698">
      <w:rPr>
        <w:noProof/>
      </w:rPr>
      <w:fldChar w:fldCharType="begin"/>
    </w:r>
    <w:r w:rsidR="00914698">
      <w:rPr>
        <w:noProof/>
      </w:rPr>
      <w:instrText xml:space="preserve"> NUMPAGES   \* MERGEFORMAT </w:instrText>
    </w:r>
    <w:r w:rsidR="00914698">
      <w:rPr>
        <w:noProof/>
      </w:rPr>
      <w:fldChar w:fldCharType="separate"/>
    </w:r>
    <w:r w:rsidR="008408CD">
      <w:rPr>
        <w:noProof/>
      </w:rPr>
      <w:t>7</w:t>
    </w:r>
    <w:r w:rsidR="009146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25605" w14:textId="77777777" w:rsidR="00BA5C11" w:rsidRDefault="00BA5C11">
      <w:r>
        <w:separator/>
      </w:r>
    </w:p>
  </w:footnote>
  <w:footnote w:type="continuationSeparator" w:id="0">
    <w:p w14:paraId="68725606" w14:textId="77777777" w:rsidR="00BA5C11" w:rsidRDefault="00BA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5609" w14:textId="77777777" w:rsidR="00BA5C11" w:rsidRDefault="00BA5C11" w:rsidP="00480C09">
    <w:pPr>
      <w:rPr>
        <w:noProof/>
        <w:color w:val="00548C"/>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872560E" wp14:editId="6872560F">
          <wp:extent cx="904240" cy="238760"/>
          <wp:effectExtent l="0" t="0" r="0" b="8890"/>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238760"/>
                  </a:xfrm>
                  <a:prstGeom prst="rect">
                    <a:avLst/>
                  </a:prstGeom>
                  <a:noFill/>
                  <a:ln>
                    <a:noFill/>
                  </a:ln>
                </pic:spPr>
              </pic:pic>
            </a:graphicData>
          </a:graphic>
        </wp:inline>
      </w:drawing>
    </w:r>
    <w:r w:rsidRPr="0000729B">
      <w:t xml:space="preserve"> </w:t>
    </w:r>
    <w:r w:rsidRPr="0000729B">
      <w:rPr>
        <w:noProof/>
        <w:color w:val="00548C"/>
      </w:rPr>
      <w:t xml:space="preserve"> </w:t>
    </w:r>
  </w:p>
  <w:p w14:paraId="6872560A" w14:textId="77777777" w:rsidR="00BA5C11" w:rsidRPr="0000729B" w:rsidRDefault="007848F2" w:rsidP="00480C09">
    <w:pPr>
      <w:rPr>
        <w:noProof/>
        <w:color w:val="00548C"/>
      </w:rPr>
    </w:pPr>
    <w:r>
      <w:rPr>
        <w:noProof/>
        <w:color w:val="00548C"/>
      </w:rPr>
      <w:t>O</w:t>
    </w:r>
    <w:r w:rsidR="00194DB8">
      <w:rPr>
        <w:noProof/>
        <w:color w:val="00548C"/>
      </w:rPr>
      <w:t>ptic Nerve</w:t>
    </w:r>
    <w:r w:rsidR="00BA5C11">
      <w:rPr>
        <w:noProof/>
        <w:color w:val="00548C"/>
      </w:rPr>
      <w:t xml:space="preserve"> </w:t>
    </w:r>
    <w:r w:rsidR="00BA5C11" w:rsidRPr="0000729B">
      <w:rPr>
        <w:noProof/>
        <w:color w:val="00548C"/>
      </w:rPr>
      <w:t xml:space="preserve">Decompression </w:t>
    </w:r>
    <w:r w:rsidR="00BA5C11">
      <w:rPr>
        <w:noProof/>
        <w:color w:val="00548C"/>
      </w:rPr>
      <w:t>Surgery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560C" w14:textId="77777777" w:rsidR="00BA5C11" w:rsidRDefault="00BA5C11" w:rsidP="00B777AF">
    <w:pPr>
      <w:pStyle w:val="Header"/>
      <w:jc w:val="right"/>
    </w:pPr>
    <w:r>
      <w:rPr>
        <w:noProof/>
      </w:rPr>
      <w:drawing>
        <wp:inline distT="0" distB="0" distL="0" distR="0" wp14:anchorId="68725610" wp14:editId="68725611">
          <wp:extent cx="1361440" cy="337820"/>
          <wp:effectExtent l="0" t="0" r="0" b="508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337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70C"/>
    <w:multiLevelType w:val="multilevel"/>
    <w:tmpl w:val="28E2CB14"/>
    <w:lvl w:ilvl="0">
      <w:start w:val="2"/>
      <w:numFmt w:val="upperRoman"/>
      <w:lvlText w:val="%1."/>
      <w:lvlJc w:val="left"/>
      <w:pPr>
        <w:tabs>
          <w:tab w:val="num" w:pos="540"/>
        </w:tabs>
        <w:ind w:left="540" w:hanging="360"/>
      </w:pPr>
      <w:rPr>
        <w:rFonts w:cs="Times New Roman" w:hint="default"/>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17F0E"/>
    <w:multiLevelType w:val="hybridMultilevel"/>
    <w:tmpl w:val="28E2CB14"/>
    <w:lvl w:ilvl="0" w:tplc="9672F902">
      <w:start w:val="2"/>
      <w:numFmt w:val="upperRoman"/>
      <w:lvlText w:val="%1."/>
      <w:lvlJc w:val="left"/>
      <w:pPr>
        <w:tabs>
          <w:tab w:val="num" w:pos="540"/>
        </w:tabs>
        <w:ind w:left="540" w:hanging="360"/>
      </w:pPr>
      <w:rPr>
        <w:rFonts w:cs="Times New Roman" w:hint="default"/>
        <w:color w:val="auto"/>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7E3314"/>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CAE40E3"/>
    <w:multiLevelType w:val="hybridMultilevel"/>
    <w:tmpl w:val="1B26D7A2"/>
    <w:lvl w:ilvl="0" w:tplc="E44AA37C">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9">
      <w:start w:val="1"/>
      <w:numFmt w:val="lowerLetter"/>
      <w:lvlText w:val="%3."/>
      <w:lvlJc w:val="left"/>
      <w:pPr>
        <w:ind w:left="2520" w:hanging="180"/>
      </w:pPr>
      <w:rPr>
        <w:rFont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5"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E799A"/>
    <w:multiLevelType w:val="multilevel"/>
    <w:tmpl w:val="42FAE79C"/>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2"/>
      <w:numFmt w:val="upperLetter"/>
      <w:lvlText w:val="%3."/>
      <w:lvlJc w:val="left"/>
      <w:pPr>
        <w:tabs>
          <w:tab w:val="num" w:pos="720"/>
        </w:tabs>
        <w:ind w:left="720" w:hanging="360"/>
      </w:pPr>
      <w:rPr>
        <w:rFonts w:cs="Tempus Sans ITC" w:hint="default"/>
        <w:b/>
        <w:i w:val="0"/>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C8719E5"/>
    <w:multiLevelType w:val="hybridMultilevel"/>
    <w:tmpl w:val="1A5237BA"/>
    <w:lvl w:ilvl="0" w:tplc="A0207280">
      <w:start w:val="2"/>
      <w:numFmt w:val="upperRoman"/>
      <w:lvlText w:val="%1."/>
      <w:lvlJc w:val="left"/>
      <w:pPr>
        <w:tabs>
          <w:tab w:val="num" w:pos="720"/>
        </w:tabs>
        <w:ind w:left="720" w:hanging="360"/>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0A6055A"/>
    <w:multiLevelType w:val="hybridMultilevel"/>
    <w:tmpl w:val="E166C536"/>
    <w:lvl w:ilvl="0" w:tplc="386C06F0">
      <w:start w:val="1"/>
      <w:numFmt w:val="decimal"/>
      <w:lvlText w:val="%1."/>
      <w:lvlJc w:val="left"/>
      <w:pPr>
        <w:tabs>
          <w:tab w:val="num" w:pos="432"/>
        </w:tabs>
        <w:ind w:left="432" w:hanging="432"/>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6C27B5"/>
    <w:multiLevelType w:val="hybridMultilevel"/>
    <w:tmpl w:val="EF6A4576"/>
    <w:lvl w:ilvl="0" w:tplc="9DB2340A">
      <w:start w:val="2"/>
      <w:numFmt w:val="upperRoman"/>
      <w:lvlText w:val="%1."/>
      <w:lvlJc w:val="left"/>
      <w:pPr>
        <w:tabs>
          <w:tab w:val="num" w:pos="360"/>
        </w:tabs>
        <w:ind w:left="360" w:hanging="360"/>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71F75"/>
    <w:multiLevelType w:val="hybridMultilevel"/>
    <w:tmpl w:val="F86E5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0E45DE"/>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72184C7D"/>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30C53CE"/>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D1E3D0A"/>
    <w:multiLevelType w:val="hybridMultilevel"/>
    <w:tmpl w:val="2B5CEFB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87E47DE">
      <w:start w:val="1"/>
      <w:numFmt w:val="upperLetter"/>
      <w:lvlText w:val="%3."/>
      <w:lvlJc w:val="left"/>
      <w:pPr>
        <w:tabs>
          <w:tab w:val="num" w:pos="720"/>
        </w:tabs>
        <w:ind w:left="720" w:hanging="360"/>
      </w:pPr>
      <w:rPr>
        <w:rFonts w:cs="Tempus Sans ITC" w:hint="default"/>
        <w:b/>
        <w:i w:val="0"/>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206DE"/>
    <w:multiLevelType w:val="hybridMultilevel"/>
    <w:tmpl w:val="4C70C7D6"/>
    <w:lvl w:ilvl="0" w:tplc="B0CAA218">
      <w:start w:val="2"/>
      <w:numFmt w:val="upperRoman"/>
      <w:lvlText w:val="%1."/>
      <w:lvlJc w:val="left"/>
      <w:pPr>
        <w:tabs>
          <w:tab w:val="num" w:pos="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
  </w:num>
  <w:num w:numId="3">
    <w:abstractNumId w:val="9"/>
  </w:num>
  <w:num w:numId="4">
    <w:abstractNumId w:val="14"/>
  </w:num>
  <w:num w:numId="5">
    <w:abstractNumId w:val="15"/>
  </w:num>
  <w:num w:numId="6">
    <w:abstractNumId w:val="23"/>
  </w:num>
  <w:num w:numId="7">
    <w:abstractNumId w:val="25"/>
  </w:num>
  <w:num w:numId="8">
    <w:abstractNumId w:val="2"/>
  </w:num>
  <w:num w:numId="9">
    <w:abstractNumId w:val="19"/>
  </w:num>
  <w:num w:numId="10">
    <w:abstractNumId w:val="6"/>
  </w:num>
  <w:num w:numId="11">
    <w:abstractNumId w:val="30"/>
  </w:num>
  <w:num w:numId="12">
    <w:abstractNumId w:val="13"/>
  </w:num>
  <w:num w:numId="13">
    <w:abstractNumId w:val="12"/>
  </w:num>
  <w:num w:numId="14">
    <w:abstractNumId w:val="4"/>
  </w:num>
  <w:num w:numId="15">
    <w:abstractNumId w:val="7"/>
  </w:num>
  <w:num w:numId="16">
    <w:abstractNumId w:val="27"/>
  </w:num>
  <w:num w:numId="17">
    <w:abstractNumId w:val="20"/>
  </w:num>
  <w:num w:numId="18">
    <w:abstractNumId w:val="16"/>
  </w:num>
  <w:num w:numId="19">
    <w:abstractNumId w:val="5"/>
  </w:num>
  <w:num w:numId="20">
    <w:abstractNumId w:val="3"/>
  </w:num>
  <w:num w:numId="21">
    <w:abstractNumId w:val="10"/>
  </w:num>
  <w:num w:numId="22">
    <w:abstractNumId w:val="29"/>
  </w:num>
  <w:num w:numId="23">
    <w:abstractNumId w:val="26"/>
  </w:num>
  <w:num w:numId="24">
    <w:abstractNumId w:val="32"/>
  </w:num>
  <w:num w:numId="25">
    <w:abstractNumId w:val="8"/>
  </w:num>
  <w:num w:numId="26">
    <w:abstractNumId w:val="28"/>
  </w:num>
  <w:num w:numId="27">
    <w:abstractNumId w:val="17"/>
  </w:num>
  <w:num w:numId="28">
    <w:abstractNumId w:val="0"/>
  </w:num>
  <w:num w:numId="29">
    <w:abstractNumId w:val="18"/>
  </w:num>
  <w:num w:numId="30">
    <w:abstractNumId w:val="22"/>
  </w:num>
  <w:num w:numId="31">
    <w:abstractNumId w:val="21"/>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729B"/>
    <w:rsid w:val="000101EF"/>
    <w:rsid w:val="00032D3F"/>
    <w:rsid w:val="000465DE"/>
    <w:rsid w:val="0004733E"/>
    <w:rsid w:val="00053CB9"/>
    <w:rsid w:val="00060509"/>
    <w:rsid w:val="000625CE"/>
    <w:rsid w:val="00083740"/>
    <w:rsid w:val="0009252B"/>
    <w:rsid w:val="00094136"/>
    <w:rsid w:val="000950EB"/>
    <w:rsid w:val="000A2A20"/>
    <w:rsid w:val="000C40BB"/>
    <w:rsid w:val="000C4E55"/>
    <w:rsid w:val="000D09A7"/>
    <w:rsid w:val="000E4441"/>
    <w:rsid w:val="000E7011"/>
    <w:rsid w:val="000F0075"/>
    <w:rsid w:val="000F10C2"/>
    <w:rsid w:val="001148A8"/>
    <w:rsid w:val="0014316D"/>
    <w:rsid w:val="00146C6E"/>
    <w:rsid w:val="0014738D"/>
    <w:rsid w:val="00156A86"/>
    <w:rsid w:val="00170B14"/>
    <w:rsid w:val="001818D7"/>
    <w:rsid w:val="00185104"/>
    <w:rsid w:val="0018692D"/>
    <w:rsid w:val="0019049C"/>
    <w:rsid w:val="00194DB8"/>
    <w:rsid w:val="001962BE"/>
    <w:rsid w:val="00196689"/>
    <w:rsid w:val="00196935"/>
    <w:rsid w:val="0019746F"/>
    <w:rsid w:val="001A6D58"/>
    <w:rsid w:val="001A7A3B"/>
    <w:rsid w:val="001D0D34"/>
    <w:rsid w:val="001D4680"/>
    <w:rsid w:val="001D70D4"/>
    <w:rsid w:val="001E7224"/>
    <w:rsid w:val="001E7D12"/>
    <w:rsid w:val="00203E93"/>
    <w:rsid w:val="00205A54"/>
    <w:rsid w:val="0020675F"/>
    <w:rsid w:val="00212A9D"/>
    <w:rsid w:val="00220736"/>
    <w:rsid w:val="00230FE4"/>
    <w:rsid w:val="00233651"/>
    <w:rsid w:val="00254020"/>
    <w:rsid w:val="0025452A"/>
    <w:rsid w:val="002762B4"/>
    <w:rsid w:val="00283E03"/>
    <w:rsid w:val="00285997"/>
    <w:rsid w:val="00290EFA"/>
    <w:rsid w:val="00293628"/>
    <w:rsid w:val="002A3973"/>
    <w:rsid w:val="002A39EE"/>
    <w:rsid w:val="002A6E64"/>
    <w:rsid w:val="002B0582"/>
    <w:rsid w:val="002B22BB"/>
    <w:rsid w:val="002B41E6"/>
    <w:rsid w:val="002C6AAB"/>
    <w:rsid w:val="002D019A"/>
    <w:rsid w:val="002E48E7"/>
    <w:rsid w:val="002E74A7"/>
    <w:rsid w:val="002F1809"/>
    <w:rsid w:val="0030490A"/>
    <w:rsid w:val="003140D6"/>
    <w:rsid w:val="00317955"/>
    <w:rsid w:val="00324DA5"/>
    <w:rsid w:val="00332D0B"/>
    <w:rsid w:val="00336E37"/>
    <w:rsid w:val="00350EDE"/>
    <w:rsid w:val="00350F22"/>
    <w:rsid w:val="0035768C"/>
    <w:rsid w:val="00370202"/>
    <w:rsid w:val="003840CC"/>
    <w:rsid w:val="0039260D"/>
    <w:rsid w:val="003B388A"/>
    <w:rsid w:val="003C4A55"/>
    <w:rsid w:val="003C64F8"/>
    <w:rsid w:val="003D68FA"/>
    <w:rsid w:val="003D7BE7"/>
    <w:rsid w:val="003F3D44"/>
    <w:rsid w:val="00401DCC"/>
    <w:rsid w:val="004420B0"/>
    <w:rsid w:val="00472C6C"/>
    <w:rsid w:val="00480C09"/>
    <w:rsid w:val="00486E18"/>
    <w:rsid w:val="00493710"/>
    <w:rsid w:val="00496BCF"/>
    <w:rsid w:val="00497AED"/>
    <w:rsid w:val="004A13CA"/>
    <w:rsid w:val="004D69AF"/>
    <w:rsid w:val="004E0B99"/>
    <w:rsid w:val="004E38F3"/>
    <w:rsid w:val="004F2DB3"/>
    <w:rsid w:val="004F6394"/>
    <w:rsid w:val="004F7859"/>
    <w:rsid w:val="00505830"/>
    <w:rsid w:val="00507DC0"/>
    <w:rsid w:val="005103B8"/>
    <w:rsid w:val="005144C0"/>
    <w:rsid w:val="00527D02"/>
    <w:rsid w:val="005423D4"/>
    <w:rsid w:val="005537B0"/>
    <w:rsid w:val="00556CBA"/>
    <w:rsid w:val="005776FD"/>
    <w:rsid w:val="00583376"/>
    <w:rsid w:val="005C17DF"/>
    <w:rsid w:val="005C3607"/>
    <w:rsid w:val="005C3931"/>
    <w:rsid w:val="005D009F"/>
    <w:rsid w:val="005D1649"/>
    <w:rsid w:val="005D5146"/>
    <w:rsid w:val="005D6347"/>
    <w:rsid w:val="005D7B81"/>
    <w:rsid w:val="005E117C"/>
    <w:rsid w:val="005E411E"/>
    <w:rsid w:val="005F051C"/>
    <w:rsid w:val="00600F2B"/>
    <w:rsid w:val="00604294"/>
    <w:rsid w:val="0063460E"/>
    <w:rsid w:val="006474BB"/>
    <w:rsid w:val="00653A78"/>
    <w:rsid w:val="00665B62"/>
    <w:rsid w:val="006664E9"/>
    <w:rsid w:val="00666F05"/>
    <w:rsid w:val="006A1921"/>
    <w:rsid w:val="006B24B2"/>
    <w:rsid w:val="006B6ED4"/>
    <w:rsid w:val="006C74DF"/>
    <w:rsid w:val="006F1564"/>
    <w:rsid w:val="006F4D70"/>
    <w:rsid w:val="00704E9B"/>
    <w:rsid w:val="00744250"/>
    <w:rsid w:val="007764CE"/>
    <w:rsid w:val="007848F2"/>
    <w:rsid w:val="007A0BCC"/>
    <w:rsid w:val="007A1106"/>
    <w:rsid w:val="007B07AE"/>
    <w:rsid w:val="007B1B66"/>
    <w:rsid w:val="007B50D0"/>
    <w:rsid w:val="007C411C"/>
    <w:rsid w:val="007C6D4F"/>
    <w:rsid w:val="007D0DE5"/>
    <w:rsid w:val="007D4801"/>
    <w:rsid w:val="007D4FAC"/>
    <w:rsid w:val="007D6EBE"/>
    <w:rsid w:val="007E011A"/>
    <w:rsid w:val="007E54C1"/>
    <w:rsid w:val="007F1F19"/>
    <w:rsid w:val="00812EF7"/>
    <w:rsid w:val="00816209"/>
    <w:rsid w:val="00827899"/>
    <w:rsid w:val="00831C3E"/>
    <w:rsid w:val="008408CD"/>
    <w:rsid w:val="008439EE"/>
    <w:rsid w:val="00857C10"/>
    <w:rsid w:val="00875924"/>
    <w:rsid w:val="00877EC7"/>
    <w:rsid w:val="00896E94"/>
    <w:rsid w:val="008B0705"/>
    <w:rsid w:val="008C4E35"/>
    <w:rsid w:val="008C6B3A"/>
    <w:rsid w:val="008C730C"/>
    <w:rsid w:val="008E14C2"/>
    <w:rsid w:val="00902C9B"/>
    <w:rsid w:val="009041BF"/>
    <w:rsid w:val="00912989"/>
    <w:rsid w:val="009135E0"/>
    <w:rsid w:val="00914698"/>
    <w:rsid w:val="00915CA4"/>
    <w:rsid w:val="0093700F"/>
    <w:rsid w:val="009445A6"/>
    <w:rsid w:val="00950820"/>
    <w:rsid w:val="009577EB"/>
    <w:rsid w:val="00961071"/>
    <w:rsid w:val="00961405"/>
    <w:rsid w:val="00963062"/>
    <w:rsid w:val="009735FA"/>
    <w:rsid w:val="00977ECA"/>
    <w:rsid w:val="00982180"/>
    <w:rsid w:val="009928B2"/>
    <w:rsid w:val="0099624C"/>
    <w:rsid w:val="009969D6"/>
    <w:rsid w:val="009C61B2"/>
    <w:rsid w:val="009D5928"/>
    <w:rsid w:val="009E2A55"/>
    <w:rsid w:val="009E6F29"/>
    <w:rsid w:val="00A01627"/>
    <w:rsid w:val="00A038DD"/>
    <w:rsid w:val="00A04230"/>
    <w:rsid w:val="00A20F73"/>
    <w:rsid w:val="00A41969"/>
    <w:rsid w:val="00A53103"/>
    <w:rsid w:val="00A60413"/>
    <w:rsid w:val="00A63F80"/>
    <w:rsid w:val="00A83658"/>
    <w:rsid w:val="00A85489"/>
    <w:rsid w:val="00A87B1F"/>
    <w:rsid w:val="00A95419"/>
    <w:rsid w:val="00AA1A6A"/>
    <w:rsid w:val="00AA336E"/>
    <w:rsid w:val="00AA428E"/>
    <w:rsid w:val="00AD1AA6"/>
    <w:rsid w:val="00AE66B1"/>
    <w:rsid w:val="00AF1F2A"/>
    <w:rsid w:val="00AF26DE"/>
    <w:rsid w:val="00AF30EF"/>
    <w:rsid w:val="00AF5490"/>
    <w:rsid w:val="00AF5A9B"/>
    <w:rsid w:val="00B0429D"/>
    <w:rsid w:val="00B460BA"/>
    <w:rsid w:val="00B4633B"/>
    <w:rsid w:val="00B70E1E"/>
    <w:rsid w:val="00B777AF"/>
    <w:rsid w:val="00B81789"/>
    <w:rsid w:val="00B90F81"/>
    <w:rsid w:val="00B92DF1"/>
    <w:rsid w:val="00B96EEA"/>
    <w:rsid w:val="00BA5C11"/>
    <w:rsid w:val="00BD3840"/>
    <w:rsid w:val="00BF4150"/>
    <w:rsid w:val="00C01AA6"/>
    <w:rsid w:val="00C06257"/>
    <w:rsid w:val="00C079B0"/>
    <w:rsid w:val="00C10DF0"/>
    <w:rsid w:val="00C12793"/>
    <w:rsid w:val="00C14250"/>
    <w:rsid w:val="00C2297C"/>
    <w:rsid w:val="00C36AF8"/>
    <w:rsid w:val="00C5390C"/>
    <w:rsid w:val="00C64BB4"/>
    <w:rsid w:val="00C721F4"/>
    <w:rsid w:val="00C73CF5"/>
    <w:rsid w:val="00C75BD4"/>
    <w:rsid w:val="00C7654A"/>
    <w:rsid w:val="00C81965"/>
    <w:rsid w:val="00C84C2F"/>
    <w:rsid w:val="00C96847"/>
    <w:rsid w:val="00C973B5"/>
    <w:rsid w:val="00C97EBD"/>
    <w:rsid w:val="00CA53B9"/>
    <w:rsid w:val="00CA5C08"/>
    <w:rsid w:val="00CB4600"/>
    <w:rsid w:val="00CF2624"/>
    <w:rsid w:val="00D36448"/>
    <w:rsid w:val="00D40C5C"/>
    <w:rsid w:val="00D574CA"/>
    <w:rsid w:val="00D71BC4"/>
    <w:rsid w:val="00D77CB4"/>
    <w:rsid w:val="00D97673"/>
    <w:rsid w:val="00DA3D30"/>
    <w:rsid w:val="00DB077F"/>
    <w:rsid w:val="00DB1DE9"/>
    <w:rsid w:val="00DB34EF"/>
    <w:rsid w:val="00DB7073"/>
    <w:rsid w:val="00DC6341"/>
    <w:rsid w:val="00DD025A"/>
    <w:rsid w:val="00DD6ADB"/>
    <w:rsid w:val="00DD7D7A"/>
    <w:rsid w:val="00DE18E2"/>
    <w:rsid w:val="00E05590"/>
    <w:rsid w:val="00E1625C"/>
    <w:rsid w:val="00E273E6"/>
    <w:rsid w:val="00E65CC5"/>
    <w:rsid w:val="00E7516C"/>
    <w:rsid w:val="00E97C17"/>
    <w:rsid w:val="00EA3809"/>
    <w:rsid w:val="00ED0A0D"/>
    <w:rsid w:val="00F03DC0"/>
    <w:rsid w:val="00F06C7B"/>
    <w:rsid w:val="00F2705D"/>
    <w:rsid w:val="00F34A23"/>
    <w:rsid w:val="00F422E1"/>
    <w:rsid w:val="00F430C8"/>
    <w:rsid w:val="00F67BBD"/>
    <w:rsid w:val="00F71F8E"/>
    <w:rsid w:val="00F74762"/>
    <w:rsid w:val="00F77AAE"/>
    <w:rsid w:val="00F87691"/>
    <w:rsid w:val="00F91367"/>
    <w:rsid w:val="00F95133"/>
    <w:rsid w:val="00F97D09"/>
    <w:rsid w:val="00FA658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8725577"/>
  <w15:docId w15:val="{1B350B19-A919-4439-B162-ED8DD527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4F"/>
    <w:rPr>
      <w:sz w:val="24"/>
      <w:szCs w:val="24"/>
    </w:rPr>
  </w:style>
  <w:style w:type="paragraph" w:styleId="Heading1">
    <w:name w:val="heading 1"/>
    <w:basedOn w:val="Normal"/>
    <w:next w:val="Normal"/>
    <w:link w:val="Heading1Char"/>
    <w:uiPriority w:val="99"/>
    <w:qFormat/>
    <w:rsid w:val="008E14C2"/>
    <w:pPr>
      <w:keepNext/>
      <w:outlineLvl w:val="0"/>
    </w:pPr>
    <w:rPr>
      <w:b/>
      <w:bCs/>
      <w:sz w:val="20"/>
      <w:szCs w:val="12"/>
    </w:rPr>
  </w:style>
  <w:style w:type="paragraph" w:styleId="Heading2">
    <w:name w:val="heading 2"/>
    <w:basedOn w:val="Normal"/>
    <w:next w:val="Normal"/>
    <w:link w:val="Heading2Char"/>
    <w:uiPriority w:val="99"/>
    <w:qFormat/>
    <w:rsid w:val="008E14C2"/>
    <w:pPr>
      <w:keepNext/>
      <w:outlineLvl w:val="1"/>
    </w:pPr>
    <w:rPr>
      <w:b/>
      <w:bCs/>
      <w:u w:val="single"/>
    </w:rPr>
  </w:style>
  <w:style w:type="paragraph" w:styleId="Heading3">
    <w:name w:val="heading 3"/>
    <w:basedOn w:val="Normal"/>
    <w:next w:val="Normal"/>
    <w:link w:val="Heading3Char"/>
    <w:uiPriority w:val="99"/>
    <w:qFormat/>
    <w:rsid w:val="008E14C2"/>
    <w:pPr>
      <w:keepNext/>
      <w:outlineLvl w:val="2"/>
    </w:pPr>
    <w:rPr>
      <w:b/>
      <w:bCs/>
    </w:rPr>
  </w:style>
  <w:style w:type="paragraph" w:styleId="Heading4">
    <w:name w:val="heading 4"/>
    <w:basedOn w:val="Normal"/>
    <w:next w:val="Normal"/>
    <w:link w:val="Heading4Char"/>
    <w:uiPriority w:val="99"/>
    <w:qFormat/>
    <w:rsid w:val="008E14C2"/>
    <w:pPr>
      <w:keepNext/>
      <w:jc w:val="center"/>
      <w:outlineLvl w:val="3"/>
    </w:pPr>
    <w:rPr>
      <w:b/>
      <w:bCs/>
    </w:rPr>
  </w:style>
  <w:style w:type="paragraph" w:styleId="Heading5">
    <w:name w:val="heading 5"/>
    <w:basedOn w:val="Normal"/>
    <w:next w:val="Normal"/>
    <w:link w:val="Heading5Char"/>
    <w:uiPriority w:val="99"/>
    <w:qFormat/>
    <w:rsid w:val="008E14C2"/>
    <w:pPr>
      <w:keepNext/>
      <w:outlineLvl w:val="4"/>
    </w:pPr>
    <w:rPr>
      <w:b/>
      <w:szCs w:val="20"/>
    </w:rPr>
  </w:style>
  <w:style w:type="paragraph" w:styleId="Heading6">
    <w:name w:val="heading 6"/>
    <w:basedOn w:val="Normal"/>
    <w:next w:val="Normal"/>
    <w:link w:val="Heading6Char"/>
    <w:uiPriority w:val="99"/>
    <w:qFormat/>
    <w:rsid w:val="008E14C2"/>
    <w:pPr>
      <w:keepNext/>
      <w:tabs>
        <w:tab w:val="num" w:pos="0"/>
      </w:tabs>
      <w:jc w:val="center"/>
      <w:outlineLvl w:val="5"/>
    </w:pPr>
    <w:rPr>
      <w:b/>
      <w:szCs w:val="20"/>
    </w:rPr>
  </w:style>
  <w:style w:type="paragraph" w:styleId="Heading7">
    <w:name w:val="heading 7"/>
    <w:basedOn w:val="Normal"/>
    <w:next w:val="Normal"/>
    <w:link w:val="Heading7Char"/>
    <w:uiPriority w:val="99"/>
    <w:qFormat/>
    <w:rsid w:val="008E14C2"/>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C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0C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0C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0C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0C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40C5C"/>
    <w:rPr>
      <w:rFonts w:ascii="Calibri" w:hAnsi="Calibri" w:cs="Times New Roman"/>
      <w:b/>
      <w:bCs/>
    </w:rPr>
  </w:style>
  <w:style w:type="character" w:customStyle="1" w:styleId="Heading7Char">
    <w:name w:val="Heading 7 Char"/>
    <w:basedOn w:val="DefaultParagraphFont"/>
    <w:link w:val="Heading7"/>
    <w:uiPriority w:val="99"/>
    <w:semiHidden/>
    <w:locked/>
    <w:rsid w:val="00D40C5C"/>
    <w:rPr>
      <w:rFonts w:ascii="Calibri" w:hAnsi="Calibri" w:cs="Times New Roman"/>
      <w:sz w:val="24"/>
      <w:szCs w:val="24"/>
    </w:rPr>
  </w:style>
  <w:style w:type="paragraph" w:styleId="Header">
    <w:name w:val="header"/>
    <w:basedOn w:val="Normal"/>
    <w:link w:val="HeaderChar"/>
    <w:uiPriority w:val="99"/>
    <w:rsid w:val="008E14C2"/>
    <w:pPr>
      <w:tabs>
        <w:tab w:val="center" w:pos="4320"/>
        <w:tab w:val="right" w:pos="8640"/>
      </w:tabs>
    </w:pPr>
  </w:style>
  <w:style w:type="character" w:customStyle="1" w:styleId="HeaderChar">
    <w:name w:val="Header Char"/>
    <w:basedOn w:val="DefaultParagraphFont"/>
    <w:link w:val="Header"/>
    <w:uiPriority w:val="99"/>
    <w:semiHidden/>
    <w:locked/>
    <w:rsid w:val="00D40C5C"/>
    <w:rPr>
      <w:rFonts w:cs="Times New Roman"/>
      <w:sz w:val="24"/>
      <w:szCs w:val="24"/>
    </w:rPr>
  </w:style>
  <w:style w:type="paragraph" w:styleId="Footer">
    <w:name w:val="footer"/>
    <w:basedOn w:val="Normal"/>
    <w:link w:val="FooterChar"/>
    <w:uiPriority w:val="99"/>
    <w:rsid w:val="008E14C2"/>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8E14C2"/>
    <w:pPr>
      <w:jc w:val="center"/>
    </w:pPr>
    <w:rPr>
      <w:b/>
      <w:bCs/>
      <w:szCs w:val="20"/>
    </w:rPr>
  </w:style>
  <w:style w:type="character" w:customStyle="1" w:styleId="TitleChar">
    <w:name w:val="Title Char"/>
    <w:basedOn w:val="DefaultParagraphFont"/>
    <w:link w:val="Title"/>
    <w:uiPriority w:val="99"/>
    <w:locked/>
    <w:rsid w:val="00D40C5C"/>
    <w:rPr>
      <w:rFonts w:ascii="Cambria" w:hAnsi="Cambria" w:cs="Times New Roman"/>
      <w:b/>
      <w:bCs/>
      <w:kern w:val="28"/>
      <w:sz w:val="32"/>
      <w:szCs w:val="32"/>
    </w:rPr>
  </w:style>
  <w:style w:type="character" w:customStyle="1" w:styleId="EmailStyle20">
    <w:name w:val="EmailStyle20"/>
    <w:uiPriority w:val="99"/>
    <w:rsid w:val="008E14C2"/>
    <w:rPr>
      <w:rFonts w:ascii="Arial" w:hAnsi="Arial"/>
      <w:color w:val="000000"/>
      <w:sz w:val="20"/>
    </w:rPr>
  </w:style>
  <w:style w:type="paragraph" w:styleId="NormalWeb">
    <w:name w:val="Normal (Web)"/>
    <w:basedOn w:val="Normal"/>
    <w:uiPriority w:val="99"/>
    <w:rsid w:val="008E14C2"/>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8E14C2"/>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C5C"/>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Revision">
    <w:name w:val="Revision"/>
    <w:hidden/>
    <w:uiPriority w:val="99"/>
    <w:semiHidden/>
    <w:rsid w:val="00DC6341"/>
    <w:rPr>
      <w:sz w:val="24"/>
      <w:szCs w:val="24"/>
    </w:rPr>
  </w:style>
  <w:style w:type="paragraph" w:styleId="ListParagraph">
    <w:name w:val="List Paragraph"/>
    <w:basedOn w:val="Normal"/>
    <w:uiPriority w:val="34"/>
    <w:qFormat/>
    <w:rsid w:val="00AA1A6A"/>
    <w:pPr>
      <w:ind w:left="720"/>
      <w:contextualSpacing/>
    </w:pPr>
  </w:style>
  <w:style w:type="character" w:customStyle="1" w:styleId="doi1">
    <w:name w:val="doi1"/>
    <w:basedOn w:val="DefaultParagraphFont"/>
    <w:rsid w:val="00A0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41686">
      <w:marLeft w:val="0"/>
      <w:marRight w:val="0"/>
      <w:marTop w:val="0"/>
      <w:marBottom w:val="0"/>
      <w:divBdr>
        <w:top w:val="none" w:sz="0" w:space="0" w:color="auto"/>
        <w:left w:val="none" w:sz="0" w:space="0" w:color="auto"/>
        <w:bottom w:val="none" w:sz="0" w:space="0" w:color="auto"/>
        <w:right w:val="none" w:sz="0" w:space="0" w:color="auto"/>
      </w:divBdr>
    </w:div>
    <w:div w:id="1213541688">
      <w:marLeft w:val="0"/>
      <w:marRight w:val="0"/>
      <w:marTop w:val="0"/>
      <w:marBottom w:val="0"/>
      <w:divBdr>
        <w:top w:val="none" w:sz="0" w:space="0" w:color="auto"/>
        <w:left w:val="none" w:sz="0" w:space="0" w:color="auto"/>
        <w:bottom w:val="none" w:sz="0" w:space="0" w:color="auto"/>
        <w:right w:val="none" w:sz="0" w:space="0" w:color="auto"/>
      </w:divBdr>
      <w:divsChild>
        <w:div w:id="1213541687">
          <w:marLeft w:val="0"/>
          <w:marRight w:val="0"/>
          <w:marTop w:val="0"/>
          <w:marBottom w:val="0"/>
          <w:divBdr>
            <w:top w:val="none" w:sz="0" w:space="0" w:color="auto"/>
            <w:left w:val="none" w:sz="0" w:space="0" w:color="auto"/>
            <w:bottom w:val="none" w:sz="0" w:space="0" w:color="auto"/>
            <w:right w:val="none" w:sz="0" w:space="0" w:color="auto"/>
          </w:divBdr>
        </w:div>
        <w:div w:id="1213541690">
          <w:marLeft w:val="0"/>
          <w:marRight w:val="0"/>
          <w:marTop w:val="0"/>
          <w:marBottom w:val="0"/>
          <w:divBdr>
            <w:top w:val="none" w:sz="0" w:space="0" w:color="auto"/>
            <w:left w:val="none" w:sz="0" w:space="0" w:color="auto"/>
            <w:bottom w:val="none" w:sz="0" w:space="0" w:color="auto"/>
            <w:right w:val="none" w:sz="0" w:space="0" w:color="auto"/>
          </w:divBdr>
        </w:div>
      </w:divsChild>
    </w:div>
    <w:div w:id="121354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0F09-28D9-43C7-A031-A7305629BD75}">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B551A41-7B6C-4D85-BCCE-A5457B783517}">
  <ds:schemaRefs>
    <ds:schemaRef ds:uri="http://schemas.microsoft.com/sharepoint/v3/contenttype/forms"/>
  </ds:schemaRefs>
</ds:datastoreItem>
</file>

<file path=customXml/itemProps3.xml><?xml version="1.0" encoding="utf-8"?>
<ds:datastoreItem xmlns:ds="http://schemas.openxmlformats.org/officeDocument/2006/customXml" ds:itemID="{544FE630-034B-4BF2-BC53-5FD07128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66A78A-0889-41FE-B9C4-E4217237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2015-06-25T20:16:00Z</cp:lastPrinted>
  <dcterms:created xsi:type="dcterms:W3CDTF">2019-08-26T18:26:00Z</dcterms:created>
  <dcterms:modified xsi:type="dcterms:W3CDTF">2019-08-26T18:26:00Z</dcterms:modified>
</cp:coreProperties>
</file>